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Board Charter</w:t>
      </w:r>
    </w:p>
    <w:p>
      <w:pPr>
        <w:pStyle w:val="CoverSub"/>
      </w:pPr>
      <w:r>
        <w:t>Board authority, mandate, composition, operating protocol and reserved matters</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Board Charter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4550950"/>
            <wp:docPr id="1" name="Picture 1"/>
            <wp:cNvGraphicFramePr>
              <a:graphicFrameLocks noChangeAspect="1"/>
            </wp:cNvGraphicFramePr>
            <a:graphic>
              <a:graphicData uri="http://schemas.openxmlformats.org/drawingml/2006/picture">
                <pic:pic>
                  <pic:nvPicPr>
                    <pic:cNvPr id="0" name="01_NCDF_Board_Charter.png"/>
                    <pic:cNvPicPr/>
                  </pic:nvPicPr>
                  <pic:blipFill>
                    <a:blip r:embed="rId10"/>
                    <a:stretch>
                      <a:fillRect/>
                    </a:stretch>
                  </pic:blipFill>
                  <pic:spPr>
                    <a:xfrm>
                      <a:off x="0" y="0"/>
                      <a:ext cx="5852160" cy="4550950"/>
                    </a:xfrm>
                    <a:prstGeom prst="rect"/>
                  </pic:spPr>
                </pic:pic>
              </a:graphicData>
            </a:graphic>
          </wp:inline>
        </w:drawing>
      </w:r>
    </w:p>
    <w:p>
      <w:pPr>
        <w:pStyle w:val="SmallNCDF"/>
        <w:jc w:val="center"/>
      </w:pPr>
      <w:r>
        <w:rPr>
          <w:i/>
          <w:color w:val="5A5A5A"/>
        </w:rPr>
        <w:t>NCDF Board governance architecture</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Purpose and mandate</w:t>
      </w:r>
    </w:p>
    <w:p>
      <w:pPr>
        <w:pStyle w:val="BodyTextNCDF"/>
      </w:pPr>
      <w:r>
        <w:t>The Board Charter defines the formal authority, responsibilities, operating model and behavioural expectations of the NCDF Group Board. It establishes how the Board provides strategic direction, fiduciary oversight and stewardship of capital across the Group’s holding company, regulated entities, managed funds, special purpose vehicles and affiliated programmes. The charter is designed for a complex development investment platform that must satisfy investor, regulatory and public-interest scrutiny.</w:t>
      </w:r>
    </w:p>
    <w:p>
      <w:pPr>
        <w:pStyle w:val="BodyTextNCDF"/>
        <w:ind w:left="288" w:hanging="216"/>
      </w:pPr>
      <w:r>
        <w:rPr>
          <w:b/>
        </w:rPr>
        <w:t xml:space="preserve">• </w:t>
      </w:r>
      <w:r>
        <w:t>Provide a clear decision and control architecture that can withstand Board, auditor, regulator and investor scrutiny.</w:t>
      </w:r>
    </w:p>
    <w:p>
      <w:pPr>
        <w:pStyle w:val="BodyTextNCDF"/>
        <w:ind w:left="288" w:hanging="216"/>
      </w:pPr>
      <w:r>
        <w:rPr>
          <w:b/>
        </w:rPr>
        <w:t xml:space="preserve">• </w:t>
      </w:r>
      <w:r>
        <w:t>Create consistent expectations across HoldCo, regulated entities, funds, SPVs and programmes.</w:t>
      </w:r>
    </w:p>
    <w:p>
      <w:pPr>
        <w:pStyle w:val="BodyTextNCDF"/>
        <w:ind w:left="288" w:hanging="216"/>
      </w:pPr>
      <w:r>
        <w:rPr>
          <w:b/>
        </w:rPr>
        <w:t xml:space="preserve">• </w:t>
      </w:r>
      <w:r>
        <w:t>Reduce ambiguity, control bypass and key-person dependency through documented process and accountability.</w:t>
      </w:r>
    </w:p>
    <w:p>
      <w:pPr>
        <w:pStyle w:val="Heading1NCDF"/>
      </w:pPr>
      <w:r>
        <w:t>Role of the Board</w:t>
      </w:r>
    </w:p>
    <w:p>
      <w:pPr>
        <w:pStyle w:val="BodyTextNCDF"/>
      </w:pPr>
      <w:r>
        <w:t>The Board is responsible for setting purpose and long-term direction; approving strategy, annual objectives and material capital allocation; appointing, supervising and, where appropriate, replacing the chief executive and other key officers; overseeing financial integrity, disclosure, internal control, risk and compliance; safeguarding the interests of shareholders and legitimate stakeholders; and ensuring that culture, conduct and incentives support prudent and responsible behaviour.</w:t>
      </w:r>
    </w:p>
    <w:p>
      <w:pPr>
        <w:pStyle w:val="BodyTextNCDF"/>
        <w:ind w:left="288" w:hanging="216"/>
      </w:pPr>
      <w:r>
        <w:rPr>
          <w:b/>
        </w:rPr>
        <w:t xml:space="preserve">• </w:t>
      </w:r>
      <w:r>
        <w:t>Documented roles should be matched with formal authorities, information rights and reporting obligations.</w:t>
      </w:r>
    </w:p>
    <w:p>
      <w:pPr>
        <w:pStyle w:val="BodyTextNCDF"/>
        <w:ind w:left="288" w:hanging="216"/>
      </w:pPr>
      <w:r>
        <w:rPr>
          <w:b/>
        </w:rPr>
        <w:t xml:space="preserve">• </w:t>
      </w:r>
      <w:r>
        <w:t>Committee or management forums should not duplicate or obscure Board accountability.</w:t>
      </w:r>
    </w:p>
    <w:p>
      <w:pPr>
        <w:pStyle w:val="BodyTextNCDF"/>
        <w:ind w:left="288" w:hanging="216"/>
      </w:pPr>
      <w:r>
        <w:rPr>
          <w:b/>
        </w:rPr>
        <w:t xml:space="preserve">• </w:t>
      </w:r>
      <w:r>
        <w:t>Escalation routes should be explicit for urgent issues, threshold breaches, exceptions and incidents.</w:t>
      </w:r>
    </w:p>
    <w:p>
      <w:pPr>
        <w:pStyle w:val="Heading1NCDF"/>
      </w:pPr>
      <w:r>
        <w:t>Reserved matters</w:t>
      </w:r>
    </w:p>
    <w:p>
      <w:pPr>
        <w:pStyle w:val="BodyTextNCDF"/>
      </w:pPr>
      <w:r>
        <w:t>Without prejudice to matters reserved by law or constitutional documents, the Board reserves to itself: approval of strategy and business plans; budget and capital plans; establishment or acquisition of funds, subsidiaries and SPVs; material investments, disposals and financings above delegated thresholds; appointments to Board committees and key control functions; approval of core policies and frameworks; approval of annual and interim financial statements; major litigation, settlements and enforcement matters; and transactions involving conflicts of interest or related parties.</w:t>
      </w:r>
    </w:p>
    <w:p>
      <w:pPr>
        <w:pStyle w:val="Heading1NCDF"/>
      </w:pPr>
      <w:r>
        <w:t>Composition and independence</w:t>
      </w:r>
    </w:p>
    <w:p>
      <w:pPr>
        <w:pStyle w:val="BodyTextNCDF"/>
      </w:pPr>
      <w:r>
        <w:t>The Board shall comprise a balanced mix of executive, non-executive and, where appropriate, independent directors possessing expertise in finance, infrastructure, sustainability, healthcare, housing, legal and regulatory matters, public-private partnership structuring, technology and institutional governance. The Chair shall lead the Board and ensure effective contribution by all directors. Independence shall be assessed at least annually against objective criteria, including absence of management responsibility, material advisory or commercial dependency, and ability to exercise unbiased judgement.</w:t>
      </w:r>
    </w:p>
    <w:p>
      <w:pPr>
        <w:pStyle w:val="BodyTextNCDF"/>
        <w:ind w:left="288" w:hanging="216"/>
      </w:pPr>
      <w:r>
        <w:rPr>
          <w:b/>
        </w:rPr>
        <w:t xml:space="preserve">• </w:t>
      </w:r>
      <w:r>
        <w:t>Documented roles should be matched with formal authorities, information rights and reporting obligations.</w:t>
      </w:r>
    </w:p>
    <w:p>
      <w:pPr>
        <w:pStyle w:val="BodyTextNCDF"/>
        <w:ind w:left="288" w:hanging="216"/>
      </w:pPr>
      <w:r>
        <w:rPr>
          <w:b/>
        </w:rPr>
        <w:t xml:space="preserve">• </w:t>
      </w:r>
      <w:r>
        <w:t>Committee or management forums should not duplicate or obscure Board accountability.</w:t>
      </w:r>
    </w:p>
    <w:p>
      <w:pPr>
        <w:pStyle w:val="BodyTextNCDF"/>
        <w:ind w:left="288" w:hanging="216"/>
      </w:pPr>
      <w:r>
        <w:rPr>
          <w:b/>
        </w:rPr>
        <w:t xml:space="preserve">• </w:t>
      </w:r>
      <w:r>
        <w:t>Escalation routes should be explicit for urgent issues, threshold breaches, exceptions and incidents.</w:t>
      </w:r>
    </w:p>
    <w:p>
      <w:pPr>
        <w:pStyle w:val="Heading1NCDF"/>
      </w:pPr>
      <w:r>
        <w:t>Director duties and standards of conduct</w:t>
      </w:r>
    </w:p>
    <w:p>
      <w:pPr>
        <w:pStyle w:val="BodyTextNCDF"/>
      </w:pPr>
      <w:r>
        <w:t>Each director shall act in good faith, with due care, skill and diligence, in the best interests of the relevant NCDF entity while considering the broader long-term sustainability of the Group. Directors shall prepare adequately, attend and participate actively, challenge constructively, protect confidentiality, disclose conflicts promptly, and avoid misuse of information or position. Directors shall maintain the competence required to oversee a development finance platform operating in regulated and high-impact sectors.</w:t>
      </w:r>
    </w:p>
    <w:p>
      <w:pPr>
        <w:pStyle w:val="Heading1NCDF"/>
      </w:pPr>
      <w:r>
        <w:t>Board processes</w:t>
      </w:r>
    </w:p>
    <w:p>
      <w:pPr>
        <w:pStyle w:val="BodyTextNCDF"/>
      </w:pPr>
      <w:r>
        <w:t>The Board shall approve an annual workplan aligned to strategy, risk, financial reporting, talent, committee cycles and major transactions. Papers shall be circulated sufficiently in advance and shall present clear recommendations, financial analysis, risk implications, implementation requirements and decision rights. Meetings may be in person or virtual, provided they enable deliberation and secure recordkeeping. The Company Secretary shall maintain accurate minutes, action logs, and a register of matters reserved and delegated.</w:t>
      </w:r>
    </w:p>
    <w:p>
      <w:pPr>
        <w:pStyle w:val="Heading1NCDF"/>
      </w:pPr>
      <w:r>
        <w:t>Information rights and access</w:t>
      </w:r>
    </w:p>
    <w:p>
      <w:pPr>
        <w:pStyle w:val="BodyTextNCDF"/>
      </w:pPr>
      <w:r>
        <w:t>The Board is entitled to timely, complete and decision-useful information from management and control functions. Directors may, with notice to the Chair, seek independent external advice at the entity’s expense where necessary to discharge their duties. The Board shall have unrestricted access to internal audit, risk, compliance, finance and the Company Secretary.</w:t>
      </w:r>
    </w:p>
    <w:p>
      <w:pPr>
        <w:pStyle w:val="Heading1NCDF"/>
      </w:pPr>
      <w:r>
        <w:t>Performance evaluation and succession</w:t>
      </w:r>
    </w:p>
    <w:p>
      <w:pPr>
        <w:pStyle w:val="BodyTextNCDF"/>
      </w:pPr>
      <w:r>
        <w:t>The Board shall conduct annual evaluations of Board, Chair, committee and director performance, with periodic externally facilitated assessment. It shall maintain succession plans for the Chair, committee chairs, the chief executive, key control function leaders and critical executive roles. Outcomes shall inform Board renewal, development priorities and committee composition.</w:t>
      </w:r>
    </w:p>
    <w:p>
      <w:pPr>
        <w:pStyle w:val="Heading1NCDF"/>
      </w:pPr>
      <w:r>
        <w:t>Stakeholder stewardship</w:t>
      </w:r>
    </w:p>
    <w:p>
      <w:pPr>
        <w:pStyle w:val="BodyTextNCDF"/>
      </w:pPr>
      <w:r>
        <w:t>Because NCDF operates as a development-oriented investment platform, the Board shall ensure that stakeholder considerations are integrated appropriately into decisions, including investors, regulators, host communities, employees, governments, development partners and beneficiaries. This does not dilute fiduciary responsibility; rather, it strengthens the Board’s oversight of sustainability, legitimacy and execution risk.</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Role</w:t>
            </w:r>
          </w:p>
        </w:tc>
        <w:tc>
          <w:tcPr>
            <w:tcW w:type="dxa" w:w="4968"/>
            <w:shd w:fill="163C72"/>
            <w:tcMar>
              <w:top w:w="110" w:type="dxa"/>
              <w:start w:w="120" w:type="dxa"/>
              <w:bottom w:w="110" w:type="dxa"/>
              <w:end w:w="120" w:type="dxa"/>
            </w:tcMar>
          </w:tcPr>
          <w:p>
            <w:pPr>
              <w:pStyle w:val="SmallNCDF"/>
            </w:pPr>
            <w:r>
              <w:rPr>
                <w:b/>
                <w:color w:val="FFFFFF"/>
              </w:rPr>
              <w:t>Primary accountability</w:t>
            </w:r>
          </w:p>
        </w:tc>
      </w:tr>
      <w:tr>
        <w:tc>
          <w:tcPr>
            <w:tcW w:type="dxa" w:w="4968"/>
            <w:tcMar>
              <w:top w:w="95" w:type="dxa"/>
              <w:start w:w="120" w:type="dxa"/>
              <w:bottom w:w="95" w:type="dxa"/>
              <w:end w:w="120" w:type="dxa"/>
            </w:tcMar>
            <w:vAlign w:val="center"/>
          </w:tcPr>
          <w:p>
            <w:pPr>
              <w:pStyle w:val="SmallNCDF"/>
            </w:pPr>
            <w:r>
              <w:t>Shareholders / Members</w:t>
            </w:r>
          </w:p>
        </w:tc>
        <w:tc>
          <w:tcPr>
            <w:tcW w:type="dxa" w:w="4968"/>
            <w:tcMar>
              <w:top w:w="95" w:type="dxa"/>
              <w:start w:w="120" w:type="dxa"/>
              <w:bottom w:w="95" w:type="dxa"/>
              <w:end w:w="120" w:type="dxa"/>
            </w:tcMar>
            <w:vAlign w:val="center"/>
          </w:tcPr>
          <w:p>
            <w:pPr>
              <w:pStyle w:val="SmallNCDF"/>
            </w:pPr>
            <w:r>
              <w:t>Appoint directors, approve reserved constitutional matters and receive formal reporting.</w:t>
            </w:r>
          </w:p>
        </w:tc>
      </w:tr>
      <w:tr>
        <w:tc>
          <w:tcPr>
            <w:tcW w:type="dxa" w:w="4968"/>
            <w:tcMar>
              <w:top w:w="95" w:type="dxa"/>
              <w:start w:w="120" w:type="dxa"/>
              <w:bottom w:w="95" w:type="dxa"/>
              <w:end w:w="120" w:type="dxa"/>
            </w:tcMar>
            <w:vAlign w:val="center"/>
          </w:tcPr>
          <w:p>
            <w:pPr>
              <w:pStyle w:val="SmallNCDF"/>
            </w:pPr>
            <w:r>
              <w:t>Board</w:t>
            </w:r>
          </w:p>
        </w:tc>
        <w:tc>
          <w:tcPr>
            <w:tcW w:type="dxa" w:w="4968"/>
            <w:tcMar>
              <w:top w:w="95" w:type="dxa"/>
              <w:start w:w="120" w:type="dxa"/>
              <w:bottom w:w="95" w:type="dxa"/>
              <w:end w:w="120" w:type="dxa"/>
            </w:tcMar>
            <w:vAlign w:val="center"/>
          </w:tcPr>
          <w:p>
            <w:pPr>
              <w:pStyle w:val="SmallNCDF"/>
            </w:pPr>
            <w:r>
              <w:t>Set strategy, risk appetite, oversight and reserved decisions.</w:t>
            </w:r>
          </w:p>
        </w:tc>
      </w:tr>
      <w:tr>
        <w:tc>
          <w:tcPr>
            <w:tcW w:type="dxa" w:w="4968"/>
            <w:tcMar>
              <w:top w:w="95" w:type="dxa"/>
              <w:start w:w="120" w:type="dxa"/>
              <w:bottom w:w="95" w:type="dxa"/>
              <w:end w:w="120" w:type="dxa"/>
            </w:tcMar>
            <w:vAlign w:val="center"/>
          </w:tcPr>
          <w:p>
            <w:pPr>
              <w:pStyle w:val="SmallNCDF"/>
            </w:pPr>
            <w:r>
              <w:t>Chair</w:t>
            </w:r>
          </w:p>
        </w:tc>
        <w:tc>
          <w:tcPr>
            <w:tcW w:type="dxa" w:w="4968"/>
            <w:tcMar>
              <w:top w:w="95" w:type="dxa"/>
              <w:start w:w="120" w:type="dxa"/>
              <w:bottom w:w="95" w:type="dxa"/>
              <w:end w:w="120" w:type="dxa"/>
            </w:tcMar>
            <w:vAlign w:val="center"/>
          </w:tcPr>
          <w:p>
            <w:pPr>
              <w:pStyle w:val="SmallNCDF"/>
            </w:pPr>
            <w:r>
              <w:t>Lead Board effectiveness, agenda quality and director contribution.</w:t>
            </w:r>
          </w:p>
        </w:tc>
      </w:tr>
      <w:tr>
        <w:tc>
          <w:tcPr>
            <w:tcW w:type="dxa" w:w="4968"/>
            <w:tcMar>
              <w:top w:w="95" w:type="dxa"/>
              <w:start w:w="120" w:type="dxa"/>
              <w:bottom w:w="95" w:type="dxa"/>
              <w:end w:w="120" w:type="dxa"/>
            </w:tcMar>
            <w:vAlign w:val="center"/>
          </w:tcPr>
          <w:p>
            <w:pPr>
              <w:pStyle w:val="SmallNCDF"/>
            </w:pPr>
            <w:r>
              <w:t>Company Secretary</w:t>
            </w:r>
          </w:p>
        </w:tc>
        <w:tc>
          <w:tcPr>
            <w:tcW w:type="dxa" w:w="4968"/>
            <w:tcMar>
              <w:top w:w="95" w:type="dxa"/>
              <w:start w:w="120" w:type="dxa"/>
              <w:bottom w:w="95" w:type="dxa"/>
              <w:end w:w="120" w:type="dxa"/>
            </w:tcMar>
            <w:vAlign w:val="center"/>
          </w:tcPr>
          <w:p>
            <w:pPr>
              <w:pStyle w:val="SmallNCDF"/>
            </w:pPr>
            <w:r>
              <w:t>Governance advice, records, minutes, calendar and compliance with process.</w:t>
            </w:r>
          </w:p>
        </w:tc>
      </w:tr>
      <w:tr>
        <w:tc>
          <w:tcPr>
            <w:tcW w:type="dxa" w:w="4968"/>
            <w:tcMar>
              <w:top w:w="95" w:type="dxa"/>
              <w:start w:w="120" w:type="dxa"/>
              <w:bottom w:w="95" w:type="dxa"/>
              <w:end w:w="120" w:type="dxa"/>
            </w:tcMar>
            <w:vAlign w:val="center"/>
          </w:tcPr>
          <w:p>
            <w:pPr>
              <w:pStyle w:val="SmallNCDF"/>
            </w:pPr>
            <w:r>
              <w:t>Management</w:t>
            </w:r>
          </w:p>
        </w:tc>
        <w:tc>
          <w:tcPr>
            <w:tcW w:type="dxa" w:w="4968"/>
            <w:tcMar>
              <w:top w:w="95" w:type="dxa"/>
              <w:start w:w="120" w:type="dxa"/>
              <w:bottom w:w="95" w:type="dxa"/>
              <w:end w:w="120" w:type="dxa"/>
            </w:tcMar>
            <w:vAlign w:val="center"/>
          </w:tcPr>
          <w:p>
            <w:pPr>
              <w:pStyle w:val="SmallNCDF"/>
            </w:pPr>
            <w:r>
              <w:t>Implement Board-approved strategy and maintain control environment.</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