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SmallNCDF"/>
        <w:jc w:val="left"/>
      </w:pPr>
      <w:r>
        <w:rPr>
          <w:b/>
          <w:color w:val="163C72"/>
        </w:rPr>
        <w:t>NIGERIAN CAPITAL DEVELOPMENT FUND (NCDF GROUP)</w:t>
      </w:r>
    </w:p>
    <w:tbl>
      <w:tblPr>
        <w:tblW w:type="auto" w:w="0"/>
        <w:jc w:val="center"/>
        <w:tblLook w:firstColumn="1" w:firstRow="1" w:lastColumn="0" w:lastRow="0" w:noHBand="0" w:noVBand="1" w:val="04A0"/>
      </w:tblPr>
      <w:tblGrid>
        <w:gridCol w:w="9936"/>
      </w:tblGrid>
      <w:tr>
        <w:tc>
          <w:tcPr>
            <w:tcW w:type="dxa" w:w="9792"/>
            <w:shd w:fill="163C72"/>
          </w:tcPr>
          <w:p>
            <w:r>
              <w:t xml:space="preserve"> </w:t>
            </w:r>
          </w:p>
        </w:tc>
      </w:tr>
    </w:tbl>
    <w:p>
      <w:pPr>
        <w:pStyle w:val="CoverTitle"/>
      </w:pPr>
      <w:r>
        <w:t>Enterprise Risk Management Framework</w:t>
      </w:r>
    </w:p>
    <w:p>
      <w:pPr>
        <w:pStyle w:val="CoverSub"/>
      </w:pPr>
      <w:r>
        <w:t>Risk appetite, taxonomy, governance, methodologies and reporting standards for Group-wide risk management</w:t>
      </w:r>
    </w:p>
    <w:p>
      <w:pPr>
        <w:pStyle w:val="BodyTextNCDF"/>
      </w:pPr>
      <w:r>
        <w:t>Institutional standard policy and framework document prepared for governance, investor diligence, and operational implementation across the NCDF Group ecosystem. This document is structured with reference to international good practice used by development finance institutions, including IFC-style governance, risk, and environmental and social management approaches.</w:t>
      </w:r>
    </w:p>
    <w:tbl>
      <w:tblPr>
        <w:tblStyle w:val="TableGrid"/>
        <w:tblW w:type="auto" w:w="0"/>
        <w:jc w:val="left"/>
        <w:tblLook w:firstColumn="1" w:firstRow="1" w:lastColumn="0" w:lastRow="0" w:noHBand="0" w:noVBand="1" w:val="04A0"/>
      </w:tblPr>
      <w:tblGrid>
        <w:gridCol w:w="4968"/>
        <w:gridCol w:w="4968"/>
      </w:tblGrid>
      <w:tr>
        <w:tc>
          <w:tcPr>
            <w:tcW w:type="dxa" w:w="4968"/>
            <w:tcMar>
              <w:top w:w="90" w:type="dxa"/>
              <w:start w:w="120" w:type="dxa"/>
              <w:bottom w:w="90" w:type="dxa"/>
              <w:end w:w="120" w:type="dxa"/>
            </w:tcMar>
            <w:vAlign w:val="center"/>
            <w:shd w:fill="EAF0F8"/>
          </w:tcPr>
          <w:p>
            <w:pPr>
              <w:pStyle w:val="SmallNCDF"/>
            </w:pPr>
            <w:r>
              <w:t>Document owner</w:t>
            </w:r>
          </w:p>
        </w:tc>
        <w:tc>
          <w:tcPr>
            <w:tcW w:type="dxa" w:w="4968"/>
            <w:tcMar>
              <w:top w:w="90" w:type="dxa"/>
              <w:start w:w="120" w:type="dxa"/>
              <w:bottom w:w="90" w:type="dxa"/>
              <w:end w:w="120" w:type="dxa"/>
            </w:tcMar>
            <w:vAlign w:val="center"/>
          </w:tcPr>
          <w:p>
            <w:pPr>
              <w:pStyle w:val="SmallNCDF"/>
            </w:pPr>
            <w:r>
              <w:t>NCDF Group Board / Company Secretariat</w:t>
            </w:r>
          </w:p>
        </w:tc>
      </w:tr>
      <w:tr>
        <w:tc>
          <w:tcPr>
            <w:tcW w:type="dxa" w:w="4968"/>
            <w:tcMar>
              <w:top w:w="90" w:type="dxa"/>
              <w:start w:w="120" w:type="dxa"/>
              <w:bottom w:w="90" w:type="dxa"/>
              <w:end w:w="120" w:type="dxa"/>
            </w:tcMar>
            <w:vAlign w:val="center"/>
            <w:shd w:fill="EAF0F8"/>
          </w:tcPr>
          <w:p>
            <w:pPr>
              <w:pStyle w:val="SmallNCDF"/>
            </w:pPr>
            <w:r>
              <w:t>Applies to</w:t>
            </w:r>
          </w:p>
        </w:tc>
        <w:tc>
          <w:tcPr>
            <w:tcW w:type="dxa" w:w="4968"/>
            <w:tcMar>
              <w:top w:w="90" w:type="dxa"/>
              <w:start w:w="120" w:type="dxa"/>
              <w:bottom w:w="90" w:type="dxa"/>
              <w:end w:w="120" w:type="dxa"/>
            </w:tcMar>
            <w:vAlign w:val="center"/>
          </w:tcPr>
          <w:p>
            <w:pPr>
              <w:pStyle w:val="SmallNCDF"/>
            </w:pPr>
            <w:r>
              <w:t>HoldCo, regulated entities, funds, SPVs, programmes and controlled subsidiaries</w:t>
            </w:r>
          </w:p>
        </w:tc>
      </w:tr>
      <w:tr>
        <w:tc>
          <w:tcPr>
            <w:tcW w:type="dxa" w:w="4968"/>
            <w:tcMar>
              <w:top w:w="90" w:type="dxa"/>
              <w:start w:w="120" w:type="dxa"/>
              <w:bottom w:w="90" w:type="dxa"/>
              <w:end w:w="120" w:type="dxa"/>
            </w:tcMar>
            <w:vAlign w:val="center"/>
            <w:shd w:fill="EAF0F8"/>
          </w:tcPr>
          <w:p>
            <w:pPr>
              <w:pStyle w:val="SmallNCDF"/>
            </w:pPr>
            <w:r>
              <w:t>Review cycle</w:t>
            </w:r>
          </w:p>
        </w:tc>
        <w:tc>
          <w:tcPr>
            <w:tcW w:type="dxa" w:w="4968"/>
            <w:tcMar>
              <w:top w:w="90" w:type="dxa"/>
              <w:start w:w="120" w:type="dxa"/>
              <w:bottom w:w="90" w:type="dxa"/>
              <w:end w:w="120" w:type="dxa"/>
            </w:tcMar>
            <w:vAlign w:val="center"/>
          </w:tcPr>
          <w:p>
            <w:pPr>
              <w:pStyle w:val="SmallNCDF"/>
            </w:pPr>
            <w:r>
              <w:t>Annual review or earlier if triggered by material change</w:t>
            </w:r>
          </w:p>
        </w:tc>
      </w:tr>
      <w:tr>
        <w:tc>
          <w:tcPr>
            <w:tcW w:type="dxa" w:w="4968"/>
            <w:tcMar>
              <w:top w:w="90" w:type="dxa"/>
              <w:start w:w="120" w:type="dxa"/>
              <w:bottom w:w="90" w:type="dxa"/>
              <w:end w:w="120" w:type="dxa"/>
            </w:tcMar>
            <w:vAlign w:val="center"/>
            <w:shd w:fill="EAF0F8"/>
          </w:tcPr>
          <w:p>
            <w:pPr>
              <w:pStyle w:val="SmallNCDF"/>
            </w:pPr>
            <w:r>
              <w:t>Reference architecture</w:t>
            </w:r>
          </w:p>
        </w:tc>
        <w:tc>
          <w:tcPr>
            <w:tcW w:type="dxa" w:w="4968"/>
            <w:tcMar>
              <w:top w:w="90" w:type="dxa"/>
              <w:start w:w="120" w:type="dxa"/>
              <w:bottom w:w="90" w:type="dxa"/>
              <w:end w:w="120" w:type="dxa"/>
            </w:tcMar>
            <w:vAlign w:val="center"/>
          </w:tcPr>
          <w:p>
            <w:pPr>
              <w:pStyle w:val="SmallNCDF"/>
            </w:pPr>
            <w:r>
              <w:t>IFC-style governance and control environment, OECD corporate governance principles, three-lines model, risk-based compliance</w:t>
            </w:r>
          </w:p>
        </w:tc>
      </w:tr>
    </w:tbl>
    <w:p>
      <w:r>
        <w:br w:type="page"/>
      </w:r>
    </w:p>
    <w:p>
      <w:pPr>
        <w:pStyle w:val="Heading1NCDF"/>
      </w:pPr>
      <w:r>
        <w:t>Executive summary</w:t>
      </w:r>
    </w:p>
    <w:p>
      <w:pPr>
        <w:pStyle w:val="BodyTextNCDF"/>
      </w:pPr>
      <w:r>
        <w:t>Enterprise Risk Management Framework establishes the minimum institutional standard for the NCDF Group in this domain. It is written for use by the Board, committees, executives, control functions, programme leaders, regulated entities, fund vehicles and project companies. The design intent is to create a governance document that can be used both operationally and in investor / DFI diligence, with clear authority, process, evidence standards and accountability.</w:t>
      </w:r>
    </w:p>
    <w:p>
      <w:pPr>
        <w:pStyle w:val="Heading2NCDF"/>
      </w:pPr>
      <w:r>
        <w:t>Benchmark reference points</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Reference point</w:t>
            </w:r>
          </w:p>
        </w:tc>
        <w:tc>
          <w:tcPr>
            <w:tcW w:type="dxa" w:w="4968"/>
            <w:shd w:fill="163C72"/>
            <w:tcMar>
              <w:top w:w="110" w:type="dxa"/>
              <w:start w:w="120" w:type="dxa"/>
              <w:bottom w:w="110" w:type="dxa"/>
              <w:end w:w="120" w:type="dxa"/>
            </w:tcMar>
          </w:tcPr>
          <w:p>
            <w:pPr>
              <w:pStyle w:val="SmallNCDF"/>
            </w:pPr>
            <w:r>
              <w:rPr>
                <w:b/>
                <w:color w:val="FFFFFF"/>
              </w:rPr>
              <w:t>How it informs NCDF documents</w:t>
            </w:r>
          </w:p>
        </w:tc>
      </w:tr>
      <w:tr>
        <w:tc>
          <w:tcPr>
            <w:tcW w:type="dxa" w:w="4968"/>
            <w:tcMar>
              <w:top w:w="95" w:type="dxa"/>
              <w:start w:w="120" w:type="dxa"/>
              <w:bottom w:w="95" w:type="dxa"/>
              <w:end w:w="120" w:type="dxa"/>
            </w:tcMar>
            <w:vAlign w:val="center"/>
          </w:tcPr>
          <w:p>
            <w:pPr>
              <w:pStyle w:val="SmallNCDF"/>
            </w:pPr>
            <w:r>
              <w:t>IFC-style governance and ESMS practice</w:t>
            </w:r>
          </w:p>
        </w:tc>
        <w:tc>
          <w:tcPr>
            <w:tcW w:type="dxa" w:w="4968"/>
            <w:tcMar>
              <w:top w:w="95" w:type="dxa"/>
              <w:start w:w="120" w:type="dxa"/>
              <w:bottom w:w="95" w:type="dxa"/>
              <w:end w:w="120" w:type="dxa"/>
            </w:tcMar>
            <w:vAlign w:val="center"/>
          </w:tcPr>
          <w:p>
            <w:pPr>
              <w:pStyle w:val="SmallNCDF"/>
            </w:pPr>
            <w:r>
              <w:t>Management-system orientation, risk-based controls, escalation and action planning.</w:t>
            </w:r>
          </w:p>
        </w:tc>
      </w:tr>
      <w:tr>
        <w:tc>
          <w:tcPr>
            <w:tcW w:type="dxa" w:w="4968"/>
            <w:tcMar>
              <w:top w:w="95" w:type="dxa"/>
              <w:start w:w="120" w:type="dxa"/>
              <w:bottom w:w="95" w:type="dxa"/>
              <w:end w:w="120" w:type="dxa"/>
            </w:tcMar>
            <w:vAlign w:val="center"/>
          </w:tcPr>
          <w:p>
            <w:pPr>
              <w:pStyle w:val="SmallNCDF"/>
            </w:pPr>
            <w:r>
              <w:t>G20/OECD corporate governance principles</w:t>
            </w:r>
          </w:p>
        </w:tc>
        <w:tc>
          <w:tcPr>
            <w:tcW w:type="dxa" w:w="4968"/>
            <w:tcMar>
              <w:top w:w="95" w:type="dxa"/>
              <w:start w:w="120" w:type="dxa"/>
              <w:bottom w:w="95" w:type="dxa"/>
              <w:end w:w="120" w:type="dxa"/>
            </w:tcMar>
            <w:vAlign w:val="center"/>
          </w:tcPr>
          <w:p>
            <w:pPr>
              <w:pStyle w:val="SmallNCDF"/>
            </w:pPr>
            <w:r>
              <w:t>Board stewardship, disclosure quality, shareholder rights and committee discipline.</w:t>
            </w:r>
          </w:p>
        </w:tc>
      </w:tr>
      <w:tr>
        <w:tc>
          <w:tcPr>
            <w:tcW w:type="dxa" w:w="4968"/>
            <w:tcMar>
              <w:top w:w="95" w:type="dxa"/>
              <w:start w:w="120" w:type="dxa"/>
              <w:bottom w:w="95" w:type="dxa"/>
              <w:end w:w="120" w:type="dxa"/>
            </w:tcMar>
            <w:vAlign w:val="center"/>
          </w:tcPr>
          <w:p>
            <w:pPr>
              <w:pStyle w:val="SmallNCDF"/>
            </w:pPr>
            <w:r>
              <w:t>Three lines model</w:t>
            </w:r>
          </w:p>
        </w:tc>
        <w:tc>
          <w:tcPr>
            <w:tcW w:type="dxa" w:w="4968"/>
            <w:tcMar>
              <w:top w:w="95" w:type="dxa"/>
              <w:start w:w="120" w:type="dxa"/>
              <w:bottom w:w="95" w:type="dxa"/>
              <w:end w:w="120" w:type="dxa"/>
            </w:tcMar>
            <w:vAlign w:val="center"/>
          </w:tcPr>
          <w:p>
            <w:pPr>
              <w:pStyle w:val="SmallNCDF"/>
            </w:pPr>
            <w:r>
              <w:t>Clear separation of ownership, oversight and assurance responsibilities.</w:t>
            </w:r>
          </w:p>
        </w:tc>
      </w:tr>
      <w:tr>
        <w:tc>
          <w:tcPr>
            <w:tcW w:type="dxa" w:w="4968"/>
            <w:tcMar>
              <w:top w:w="95" w:type="dxa"/>
              <w:start w:w="120" w:type="dxa"/>
              <w:bottom w:w="95" w:type="dxa"/>
              <w:end w:w="120" w:type="dxa"/>
            </w:tcMar>
            <w:vAlign w:val="center"/>
          </w:tcPr>
          <w:p>
            <w:pPr>
              <w:pStyle w:val="SmallNCDF"/>
            </w:pPr>
            <w:r>
              <w:t>Risk-based financial crime practice</w:t>
            </w:r>
          </w:p>
        </w:tc>
        <w:tc>
          <w:tcPr>
            <w:tcW w:type="dxa" w:w="4968"/>
            <w:tcMar>
              <w:top w:w="95" w:type="dxa"/>
              <w:start w:w="120" w:type="dxa"/>
              <w:bottom w:w="95" w:type="dxa"/>
              <w:end w:w="120" w:type="dxa"/>
            </w:tcMar>
            <w:vAlign w:val="center"/>
          </w:tcPr>
          <w:p>
            <w:pPr>
              <w:pStyle w:val="SmallNCDF"/>
            </w:pPr>
            <w:r>
              <w:t>Enhanced due diligence, sanctions screening, beneficial ownership review and suspicious activity escalation.</w:t>
            </w:r>
          </w:p>
        </w:tc>
      </w:tr>
    </w:tbl>
    <w:p>
      <w:pPr>
        <w:pStyle w:val="SmallNCDF"/>
      </w:pPr>
    </w:p>
    <w:p>
      <w:pPr>
        <w:pStyle w:val="Heading1NCDF"/>
      </w:pPr>
      <w:r>
        <w:t>Framework diagram</w:t>
      </w:r>
    </w:p>
    <w:p>
      <w:pPr>
        <w:jc w:val="center"/>
      </w:pPr>
      <w:r>
        <w:drawing>
          <wp:inline xmlns:a="http://schemas.openxmlformats.org/drawingml/2006/main" xmlns:pic="http://schemas.openxmlformats.org/drawingml/2006/picture">
            <wp:extent cx="5852160" cy="2063535"/>
            <wp:docPr id="1" name="Picture 1"/>
            <wp:cNvGraphicFramePr>
              <a:graphicFrameLocks noChangeAspect="1"/>
            </wp:cNvGraphicFramePr>
            <a:graphic>
              <a:graphicData uri="http://schemas.openxmlformats.org/drawingml/2006/picture">
                <pic:pic>
                  <pic:nvPicPr>
                    <pic:cNvPr id="0" name="05_NCDF_Enterprise_Risk_Management_Framework.png"/>
                    <pic:cNvPicPr/>
                  </pic:nvPicPr>
                  <pic:blipFill>
                    <a:blip r:embed="rId10"/>
                    <a:stretch>
                      <a:fillRect/>
                    </a:stretch>
                  </pic:blipFill>
                  <pic:spPr>
                    <a:xfrm>
                      <a:off x="0" y="0"/>
                      <a:ext cx="5852160" cy="2063535"/>
                    </a:xfrm>
                    <a:prstGeom prst="rect"/>
                  </pic:spPr>
                </pic:pic>
              </a:graphicData>
            </a:graphic>
          </wp:inline>
        </w:drawing>
      </w:r>
    </w:p>
    <w:p>
      <w:pPr>
        <w:pStyle w:val="SmallNCDF"/>
        <w:jc w:val="center"/>
      </w:pPr>
      <w:r>
        <w:rPr>
          <w:i/>
          <w:color w:val="5A5A5A"/>
        </w:rPr>
        <w:t>Risk governance cycle</w:t>
      </w:r>
    </w:p>
    <w:p>
      <w:pPr>
        <w:pStyle w:val="Heading1NCDF"/>
      </w:pPr>
      <w:r>
        <w:t>Scope and application</w:t>
      </w:r>
    </w:p>
    <w:p>
      <w:pPr>
        <w:pStyle w:val="BodyTextNCDF"/>
      </w:pPr>
      <w:r>
        <w:t>Unless expressly excluded in writing, this document applies to NCDF Holdings Limited, controlled subsidiaries, regulated entities, managed funds, project SPVs, corporate functions, country or state programmes, and staff or contractors acting on behalf of the Group. Where a fund constitution, shareholder agreement, regulatory licence or concession agreement imposes an additional requirement, management shall reconcile the difference in favour of the stricter or more specific control.</w:t>
      </w:r>
    </w:p>
    <w:p>
      <w:pPr>
        <w:pStyle w:val="Heading2NCDF"/>
      </w:pPr>
      <w:r>
        <w:t>Authority and approval</w:t>
      </w:r>
    </w:p>
    <w:p>
      <w:pPr>
        <w:pStyle w:val="BodyTextNCDF"/>
      </w:pPr>
      <w:r>
        <w:t>This document is issued under the authority of the NCDF Group Board and, where applicable, applies through delegated authority to the Board committees, management committees, regulated entities, fund vehicles, special purpose vehicles and controlled subsidiaries. Where local law, fund documentation or regulatory licence conditions impose stricter requirements, the stricter standard prevails.</w:t>
      </w:r>
    </w:p>
    <w:p>
      <w:pPr>
        <w:pStyle w:val="Heading2NCDF"/>
      </w:pPr>
      <w:r>
        <w:t>Definitions and interpretive principles</w:t>
      </w:r>
    </w:p>
    <w:p>
      <w:pPr>
        <w:pStyle w:val="BodyTextNCDF"/>
      </w:pPr>
      <w:r>
        <w:t>For the purposes of this document, 'Board' means the board of the relevant NCDF entity; 'Group' means NCDF Holdings Limited together with controlled entities, programmes and managed vehicles; 'material' means any matter that could reasonably influence an investor, regulator, counterparty or stakeholder decision; and 'three lines' refers to business ownership of risk, independent oversight, and independent assurance.</w:t>
      </w:r>
    </w:p>
    <w:p>
      <w:pPr>
        <w:pStyle w:val="Heading1NCDF"/>
      </w:pPr>
      <w:r>
        <w:t>Framework purpose</w:t>
      </w:r>
    </w:p>
    <w:p>
      <w:pPr>
        <w:pStyle w:val="BodyTextNCDF"/>
      </w:pPr>
      <w:r>
        <w:t>The Enterprise Risk Management (ERM) Framework defines how NCDF identifies, assesses, responds to, monitors and reports risks across strategy, legal entities, funds, SPVs, programmes and major projects. It provides a common language, governance structure and methodology to support disciplined risk-taking consistent with the Group’s mission and capacity.</w:t>
      </w:r>
    </w:p>
    <w:p>
      <w:pPr>
        <w:pStyle w:val="Heading1NCDF"/>
      </w:pPr>
      <w:r>
        <w:t>Risk philosophy</w:t>
      </w:r>
    </w:p>
    <w:p>
      <w:pPr>
        <w:pStyle w:val="BodyTextNCDF"/>
      </w:pPr>
      <w:r>
        <w:t>NCDF accepts risk only where that risk is understood, appropriately compensated or justified by mission, governed within appetite, and supported by capability to execute. The objective is not risk elimination but intelligent, transparent and resilient risk management that preserves institutional credibility and protects capital, people, communities and development outcomes.</w:t>
      </w:r>
    </w:p>
    <w:p>
      <w:pPr>
        <w:pStyle w:val="BodyTextNCDF"/>
        <w:ind w:left="288" w:hanging="216"/>
      </w:pPr>
      <w:r>
        <w:rPr>
          <w:b/>
        </w:rPr>
        <w:t xml:space="preserve">• </w:t>
      </w:r>
      <w:r>
        <w:t>Control design should be proportionate to risk, but any simplification must be consciously approved rather than assumed.</w:t>
      </w:r>
    </w:p>
    <w:p>
      <w:pPr>
        <w:pStyle w:val="BodyTextNCDF"/>
        <w:ind w:left="288" w:hanging="216"/>
      </w:pPr>
      <w:r>
        <w:rPr>
          <w:b/>
        </w:rPr>
        <w:t xml:space="preserve">• </w:t>
      </w:r>
      <w:r>
        <w:t>Material exceptions require documented rationale, a time-bound remediation plan and accountable owner.</w:t>
      </w:r>
    </w:p>
    <w:p>
      <w:pPr>
        <w:pStyle w:val="BodyTextNCDF"/>
        <w:ind w:left="288" w:hanging="216"/>
      </w:pPr>
      <w:r>
        <w:rPr>
          <w:b/>
        </w:rPr>
        <w:t xml:space="preserve">• </w:t>
      </w:r>
      <w:r>
        <w:t>Recurring exceptions are indicators of structural weakness and should be escalated.</w:t>
      </w:r>
    </w:p>
    <w:p>
      <w:pPr>
        <w:pStyle w:val="Heading1NCDF"/>
      </w:pPr>
      <w:r>
        <w:t>Risk taxonomy</w:t>
      </w:r>
    </w:p>
    <w:p>
      <w:pPr>
        <w:pStyle w:val="BodyTextNCDF"/>
      </w:pPr>
      <w:r>
        <w:t>The minimum enterprise risk taxonomy shall include: strategic risk; capital and liquidity risk; market and macroeconomic risk; investment and portfolio risk; project development and delivery risk; legal and regulatory risk; conduct and ethics risk; financial crime risk; operational and process risk; technology, cyber and data risk; people and culture risk; environmental and social risk; health and safety risk; stakeholder and reputation risk; and model, valuation and information risk.</w:t>
      </w:r>
    </w:p>
    <w:p>
      <w:pPr>
        <w:pStyle w:val="BodyTextNCDF"/>
        <w:ind w:left="288" w:hanging="216"/>
      </w:pPr>
      <w:r>
        <w:rPr>
          <w:b/>
        </w:rPr>
        <w:t xml:space="preserve">• </w:t>
      </w:r>
      <w:r>
        <w:t>Control design should be proportionate to risk, but any simplification must be consciously approved rather than assumed.</w:t>
      </w:r>
    </w:p>
    <w:p>
      <w:pPr>
        <w:pStyle w:val="BodyTextNCDF"/>
        <w:ind w:left="288" w:hanging="216"/>
      </w:pPr>
      <w:r>
        <w:rPr>
          <w:b/>
        </w:rPr>
        <w:t xml:space="preserve">• </w:t>
      </w:r>
      <w:r>
        <w:t>Material exceptions require documented rationale, a time-bound remediation plan and accountable owner.</w:t>
      </w:r>
    </w:p>
    <w:p>
      <w:pPr>
        <w:pStyle w:val="BodyTextNCDF"/>
        <w:ind w:left="288" w:hanging="216"/>
      </w:pPr>
      <w:r>
        <w:rPr>
          <w:b/>
        </w:rPr>
        <w:t xml:space="preserve">• </w:t>
      </w:r>
      <w:r>
        <w:t>Recurring exceptions are indicators of structural weakness and should be escalated.</w:t>
      </w:r>
    </w:p>
    <w:p>
      <w:pPr>
        <w:pStyle w:val="Heading1NCDF"/>
      </w:pPr>
      <w:r>
        <w:t>Risk appetite and limits</w:t>
      </w:r>
    </w:p>
    <w:p>
      <w:pPr>
        <w:pStyle w:val="BodyTextNCDF"/>
      </w:pPr>
      <w:r>
        <w:t>The Board shall approve a written risk appetite statement supported by qualitative principles and quantitative metrics where feasible. Appetite shall be translated into limit structures, concentration tolerances, escalation triggers and early-warning indicators for material risks. Management shall not rely solely on broad qualitative language where measurable proxies can be defined.</w:t>
      </w:r>
    </w:p>
    <w:p>
      <w:pPr>
        <w:pStyle w:val="BodyTextNCDF"/>
        <w:ind w:left="288" w:hanging="216"/>
      </w:pPr>
      <w:r>
        <w:rPr>
          <w:b/>
        </w:rPr>
        <w:t xml:space="preserve">• </w:t>
      </w:r>
      <w:r>
        <w:t>Control design should be proportionate to risk, but any simplification must be consciously approved rather than assumed.</w:t>
      </w:r>
    </w:p>
    <w:p>
      <w:pPr>
        <w:pStyle w:val="BodyTextNCDF"/>
        <w:ind w:left="288" w:hanging="216"/>
      </w:pPr>
      <w:r>
        <w:rPr>
          <w:b/>
        </w:rPr>
        <w:t xml:space="preserve">• </w:t>
      </w:r>
      <w:r>
        <w:t>Material exceptions require documented rationale, a time-bound remediation plan and accountable owner.</w:t>
      </w:r>
    </w:p>
    <w:p>
      <w:pPr>
        <w:pStyle w:val="BodyTextNCDF"/>
        <w:ind w:left="288" w:hanging="216"/>
      </w:pPr>
      <w:r>
        <w:rPr>
          <w:b/>
        </w:rPr>
        <w:t xml:space="preserve">• </w:t>
      </w:r>
      <w:r>
        <w:t>Recurring exceptions are indicators of structural weakness and should be escalated.</w:t>
      </w:r>
    </w:p>
    <w:p>
      <w:pPr>
        <w:pStyle w:val="Heading1NCDF"/>
      </w:pPr>
      <w:r>
        <w:t>Methodology</w:t>
      </w:r>
    </w:p>
    <w:p>
      <w:pPr>
        <w:pStyle w:val="BodyTextNCDF"/>
      </w:pPr>
      <w:r>
        <w:t>Risk assessment shall consider likelihood, impact, velocity, persistence, controllability and interdependency. Both inherent and residual risk ratings shall be recorded. Stress and scenario analysis should be applied for capital deployment, liquidity, project concentration, regulatory stress, supply-chain disruption, counterparties, cyber incidents, fraud and adverse ESG events. Principal risks shall carry named accountable owners and documented treatment plans.</w:t>
      </w:r>
    </w:p>
    <w:p>
      <w:pPr>
        <w:pStyle w:val="Heading1NCDF"/>
      </w:pPr>
      <w:r>
        <w:t>Governance and three lines</w:t>
      </w:r>
    </w:p>
    <w:p>
      <w:pPr>
        <w:pStyle w:val="BodyTextNCDF"/>
      </w:pPr>
      <w:r>
        <w:t>The first line owns risk identification, control execution and remediation in business processes. The second line sets policy, provides challenge, monitors adherence and consolidates reporting. The third line provides independent assurance over the design and effectiveness of governance, risk management and control. Roles must be explicit enough to prevent diffusion of accountability.</w:t>
      </w:r>
    </w:p>
    <w:p>
      <w:pPr>
        <w:pStyle w:val="BodyTextNCDF"/>
        <w:ind w:left="288" w:hanging="216"/>
      </w:pPr>
      <w:r>
        <w:rPr>
          <w:b/>
        </w:rPr>
        <w:t xml:space="preserve">• </w:t>
      </w:r>
      <w:r>
        <w:t>Documented roles should be matched with formal authorities, information rights and reporting obligations.</w:t>
      </w:r>
    </w:p>
    <w:p>
      <w:pPr>
        <w:pStyle w:val="BodyTextNCDF"/>
        <w:ind w:left="288" w:hanging="216"/>
      </w:pPr>
      <w:r>
        <w:rPr>
          <w:b/>
        </w:rPr>
        <w:t xml:space="preserve">• </w:t>
      </w:r>
      <w:r>
        <w:t>Committee or management forums should not duplicate or obscure Board accountability.</w:t>
      </w:r>
    </w:p>
    <w:p>
      <w:pPr>
        <w:pStyle w:val="BodyTextNCDF"/>
        <w:ind w:left="288" w:hanging="216"/>
      </w:pPr>
      <w:r>
        <w:rPr>
          <w:b/>
        </w:rPr>
        <w:t xml:space="preserve">• </w:t>
      </w:r>
      <w:r>
        <w:t>Escalation routes should be explicit for urgent issues, threshold breaches, exceptions and incidents.</w:t>
      </w:r>
    </w:p>
    <w:p>
      <w:pPr>
        <w:pStyle w:val="Heading1NCDF"/>
      </w:pPr>
      <w:r>
        <w:t>Risk reporting</w:t>
      </w:r>
    </w:p>
    <w:p>
      <w:pPr>
        <w:pStyle w:val="BodyTextNCDF"/>
      </w:pPr>
      <w:r>
        <w:t>Quarterly enterprise risk reports shall summarise principal risks, trend movement, key risk indicators, appetite utilisation, emerging risks, overdue remediation, top incidents and stress findings. Reporting shall distinguish fact, judgement and forecast; explain management actions; and support prioritised Board discussion rather than merely describe issues.</w:t>
      </w:r>
    </w:p>
    <w:p>
      <w:pPr>
        <w:pStyle w:val="BodyTextNCDF"/>
        <w:ind w:left="288" w:hanging="216"/>
      </w:pPr>
      <w:r>
        <w:rPr>
          <w:b/>
        </w:rPr>
        <w:t xml:space="preserve">• </w:t>
      </w:r>
      <w:r>
        <w:t>Reports should distinguish current status, trend direction, forecast and required decisions.</w:t>
      </w:r>
    </w:p>
    <w:p>
      <w:pPr>
        <w:pStyle w:val="BodyTextNCDF"/>
        <w:ind w:left="288" w:hanging="216"/>
      </w:pPr>
      <w:r>
        <w:rPr>
          <w:b/>
        </w:rPr>
        <w:t xml:space="preserve">• </w:t>
      </w:r>
      <w:r>
        <w:t>Management information should focus on exceptions, concentrations, overdue actions and emerging risks.</w:t>
      </w:r>
    </w:p>
    <w:p>
      <w:pPr>
        <w:pStyle w:val="BodyTextNCDF"/>
        <w:ind w:left="288" w:hanging="216"/>
      </w:pPr>
      <w:r>
        <w:rPr>
          <w:b/>
        </w:rPr>
        <w:t xml:space="preserve">• </w:t>
      </w:r>
      <w:r>
        <w:t>Evidence should be retained in a manner that supports internal audit, external audit and investor diligence.</w:t>
      </w:r>
    </w:p>
    <w:p>
      <w:pPr>
        <w:pStyle w:val="BodyTextNCDF"/>
        <w:ind w:left="288" w:hanging="216"/>
      </w:pPr>
      <w:r>
        <w:rPr>
          <w:b/>
        </w:rPr>
        <w:t xml:space="preserve">• </w:t>
      </w:r>
      <w:r>
        <w:t>Control design should be proportionate to risk, but any simplification must be consciously approved rather than assumed.</w:t>
      </w:r>
    </w:p>
    <w:p>
      <w:pPr>
        <w:pStyle w:val="BodyTextNCDF"/>
        <w:ind w:left="288" w:hanging="216"/>
      </w:pPr>
      <w:r>
        <w:rPr>
          <w:b/>
        </w:rPr>
        <w:t xml:space="preserve">• </w:t>
      </w:r>
      <w:r>
        <w:t>Material exceptions require documented rationale, a time-bound remediation plan and accountable owner.</w:t>
      </w:r>
    </w:p>
    <w:p>
      <w:pPr>
        <w:pStyle w:val="BodyTextNCDF"/>
        <w:ind w:left="288" w:hanging="216"/>
      </w:pPr>
      <w:r>
        <w:rPr>
          <w:b/>
        </w:rPr>
        <w:t xml:space="preserve">• </w:t>
      </w:r>
      <w:r>
        <w:t>Recurring exceptions are indicators of structural weakness and should be escalated.</w:t>
      </w:r>
    </w:p>
    <w:p>
      <w:pPr>
        <w:pStyle w:val="Heading1NCDF"/>
      </w:pPr>
      <w:r>
        <w:t>Incident management and lessons learned</w:t>
      </w:r>
    </w:p>
    <w:p>
      <w:pPr>
        <w:pStyle w:val="BodyTextNCDF"/>
      </w:pPr>
      <w:r>
        <w:t>Material incidents must be classified, investigated and logged, with root-cause analysis proportionate to severity. Lessons learned shall be translated into control improvements, training, policy changes or resourcing adjustments. Repeat incidents are a governance concern and must be escalated.</w:t>
      </w:r>
    </w:p>
    <w:p>
      <w:pPr>
        <w:pStyle w:val="Heading1NCDF"/>
      </w:pPr>
      <w:r>
        <w:t>Roles and responsibilities</w:t>
      </w:r>
    </w:p>
    <w:p>
      <w:pPr>
        <w:pStyle w:val="Heading2NCDF"/>
      </w:pPr>
      <w:r>
        <w:t>Responsibility matrix</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Line of defence</w:t>
            </w:r>
          </w:p>
        </w:tc>
        <w:tc>
          <w:tcPr>
            <w:tcW w:type="dxa" w:w="4968"/>
            <w:shd w:fill="163C72"/>
            <w:tcMar>
              <w:top w:w="110" w:type="dxa"/>
              <w:start w:w="120" w:type="dxa"/>
              <w:bottom w:w="110" w:type="dxa"/>
              <w:end w:w="120" w:type="dxa"/>
            </w:tcMar>
          </w:tcPr>
          <w:p>
            <w:pPr>
              <w:pStyle w:val="SmallNCDF"/>
            </w:pPr>
            <w:r>
              <w:rPr>
                <w:b/>
                <w:color w:val="FFFFFF"/>
              </w:rPr>
              <w:t>Core responsibility</w:t>
            </w:r>
          </w:p>
        </w:tc>
      </w:tr>
      <w:tr>
        <w:tc>
          <w:tcPr>
            <w:tcW w:type="dxa" w:w="4968"/>
            <w:tcMar>
              <w:top w:w="95" w:type="dxa"/>
              <w:start w:w="120" w:type="dxa"/>
              <w:bottom w:w="95" w:type="dxa"/>
              <w:end w:w="120" w:type="dxa"/>
            </w:tcMar>
            <w:vAlign w:val="center"/>
          </w:tcPr>
          <w:p>
            <w:pPr>
              <w:pStyle w:val="SmallNCDF"/>
            </w:pPr>
            <w:r>
              <w:t>First line</w:t>
            </w:r>
          </w:p>
        </w:tc>
        <w:tc>
          <w:tcPr>
            <w:tcW w:type="dxa" w:w="4968"/>
            <w:tcMar>
              <w:top w:w="95" w:type="dxa"/>
              <w:start w:w="120" w:type="dxa"/>
              <w:bottom w:w="95" w:type="dxa"/>
              <w:end w:w="120" w:type="dxa"/>
            </w:tcMar>
            <w:vAlign w:val="center"/>
          </w:tcPr>
          <w:p>
            <w:pPr>
              <w:pStyle w:val="SmallNCDF"/>
            </w:pPr>
            <w:r>
              <w:t>Own risks, run controls, execute remediation and escalate issues.</w:t>
            </w:r>
          </w:p>
        </w:tc>
      </w:tr>
      <w:tr>
        <w:tc>
          <w:tcPr>
            <w:tcW w:type="dxa" w:w="4968"/>
            <w:tcMar>
              <w:top w:w="95" w:type="dxa"/>
              <w:start w:w="120" w:type="dxa"/>
              <w:bottom w:w="95" w:type="dxa"/>
              <w:end w:w="120" w:type="dxa"/>
            </w:tcMar>
            <w:vAlign w:val="center"/>
          </w:tcPr>
          <w:p>
            <w:pPr>
              <w:pStyle w:val="SmallNCDF"/>
            </w:pPr>
            <w:r>
              <w:t>Second line</w:t>
            </w:r>
          </w:p>
        </w:tc>
        <w:tc>
          <w:tcPr>
            <w:tcW w:type="dxa" w:w="4968"/>
            <w:tcMar>
              <w:top w:w="95" w:type="dxa"/>
              <w:start w:w="120" w:type="dxa"/>
              <w:bottom w:w="95" w:type="dxa"/>
              <w:end w:w="120" w:type="dxa"/>
            </w:tcMar>
            <w:vAlign w:val="center"/>
          </w:tcPr>
          <w:p>
            <w:pPr>
              <w:pStyle w:val="SmallNCDF"/>
            </w:pPr>
            <w:r>
              <w:t>Set policy, aggregate reporting, challenge and monitor adherence.</w:t>
            </w:r>
          </w:p>
        </w:tc>
      </w:tr>
      <w:tr>
        <w:tc>
          <w:tcPr>
            <w:tcW w:type="dxa" w:w="4968"/>
            <w:tcMar>
              <w:top w:w="95" w:type="dxa"/>
              <w:start w:w="120" w:type="dxa"/>
              <w:bottom w:w="95" w:type="dxa"/>
              <w:end w:w="120" w:type="dxa"/>
            </w:tcMar>
            <w:vAlign w:val="center"/>
          </w:tcPr>
          <w:p>
            <w:pPr>
              <w:pStyle w:val="SmallNCDF"/>
            </w:pPr>
            <w:r>
              <w:t>Third line</w:t>
            </w:r>
          </w:p>
        </w:tc>
        <w:tc>
          <w:tcPr>
            <w:tcW w:type="dxa" w:w="4968"/>
            <w:tcMar>
              <w:top w:w="95" w:type="dxa"/>
              <w:start w:w="120" w:type="dxa"/>
              <w:bottom w:w="95" w:type="dxa"/>
              <w:end w:w="120" w:type="dxa"/>
            </w:tcMar>
            <w:vAlign w:val="center"/>
          </w:tcPr>
          <w:p>
            <w:pPr>
              <w:pStyle w:val="SmallNCDF"/>
            </w:pPr>
            <w:r>
              <w:t>Provide independent assurance on framework design and effectiveness.</w:t>
            </w:r>
          </w:p>
        </w:tc>
      </w:tr>
      <w:tr>
        <w:tc>
          <w:tcPr>
            <w:tcW w:type="dxa" w:w="4968"/>
            <w:tcMar>
              <w:top w:w="95" w:type="dxa"/>
              <w:start w:w="120" w:type="dxa"/>
              <w:bottom w:w="95" w:type="dxa"/>
              <w:end w:w="120" w:type="dxa"/>
            </w:tcMar>
            <w:vAlign w:val="center"/>
          </w:tcPr>
          <w:p>
            <w:pPr>
              <w:pStyle w:val="SmallNCDF"/>
            </w:pPr>
            <w:r>
              <w:t>Board / Committee</w:t>
            </w:r>
          </w:p>
        </w:tc>
        <w:tc>
          <w:tcPr>
            <w:tcW w:type="dxa" w:w="4968"/>
            <w:tcMar>
              <w:top w:w="95" w:type="dxa"/>
              <w:start w:w="120" w:type="dxa"/>
              <w:bottom w:w="95" w:type="dxa"/>
              <w:end w:w="120" w:type="dxa"/>
            </w:tcMar>
            <w:vAlign w:val="center"/>
          </w:tcPr>
          <w:p>
            <w:pPr>
              <w:pStyle w:val="SmallNCDF"/>
            </w:pPr>
            <w:r>
              <w:t>Approve appetite, review principal risks and challenge management.</w:t>
            </w:r>
          </w:p>
        </w:tc>
      </w:tr>
    </w:tbl>
    <w:p>
      <w:pPr>
        <w:pStyle w:val="SmallNCDF"/>
      </w:pPr>
    </w:p>
    <w:p>
      <w:pPr>
        <w:pStyle w:val="Heading1NCDF"/>
      </w:pPr>
      <w:r>
        <w:t>Operating protocol</w:t>
      </w:r>
    </w:p>
    <w:p>
      <w:pPr>
        <w:pStyle w:val="BodyTextNCDF"/>
      </w:pPr>
      <w:r>
        <w:t>The following minimum operating protocol shall apply unless a stricter procedure is approved for the relevant entity or transaction type.</w:t>
      </w:r>
    </w:p>
    <w:p>
      <w:pPr>
        <w:pStyle w:val="BodyTextNCDF"/>
        <w:ind w:left="288" w:hanging="216"/>
      </w:pPr>
      <w:r>
        <w:rPr>
          <w:b/>
        </w:rPr>
        <w:t xml:space="preserve">• </w:t>
      </w:r>
      <w:r>
        <w:t>Use approved templates, registers and agenda structures so decisions are comparable over time and across entities.</w:t>
      </w:r>
    </w:p>
    <w:p>
      <w:pPr>
        <w:pStyle w:val="BodyTextNCDF"/>
        <w:ind w:left="288" w:hanging="216"/>
      </w:pPr>
      <w:r>
        <w:rPr>
          <w:b/>
        </w:rPr>
        <w:t xml:space="preserve">• </w:t>
      </w:r>
      <w:r>
        <w:t>Maintain documented evidence of review, challenge, concurrence, approval and implementation tracking.</w:t>
      </w:r>
    </w:p>
    <w:p>
      <w:pPr>
        <w:pStyle w:val="BodyTextNCDF"/>
        <w:ind w:left="288" w:hanging="216"/>
      </w:pPr>
      <w:r>
        <w:rPr>
          <w:b/>
        </w:rPr>
        <w:t xml:space="preserve">• </w:t>
      </w:r>
      <w:r>
        <w:t>Escalate exceptions, overdue actions, threshold breaches and material incidents promptly to the designated authority.</w:t>
      </w:r>
    </w:p>
    <w:p>
      <w:pPr>
        <w:pStyle w:val="BodyTextNCDF"/>
        <w:ind w:left="288" w:hanging="216"/>
      </w:pPr>
      <w:r>
        <w:rPr>
          <w:b/>
        </w:rPr>
        <w:t xml:space="preserve">• </w:t>
      </w:r>
      <w:r>
        <w:t>Retain records in a controlled repository with version history, ownership and access controls.</w:t>
      </w:r>
    </w:p>
    <w:p>
      <w:pPr>
        <w:pStyle w:val="BodyTextNCDF"/>
        <w:ind w:left="288" w:hanging="216"/>
      </w:pPr>
      <w:r>
        <w:rPr>
          <w:b/>
        </w:rPr>
        <w:t xml:space="preserve">• </w:t>
      </w:r>
      <w:r>
        <w:t>Provide periodic attestation or reporting to the Board or relevant committee on implementation effectiveness.</w:t>
      </w:r>
    </w:p>
    <w:p>
      <w:pPr>
        <w:pStyle w:val="Heading2NCDF"/>
      </w:pPr>
      <w:r>
        <w:t>Minimum recurring deliverables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Deliverable</w:t>
            </w:r>
          </w:p>
        </w:tc>
        <w:tc>
          <w:tcPr>
            <w:tcW w:type="dxa" w:w="2484"/>
            <w:shd w:fill="163C72"/>
            <w:tcMar>
              <w:top w:w="110" w:type="dxa"/>
              <w:start w:w="120" w:type="dxa"/>
              <w:bottom w:w="110" w:type="dxa"/>
              <w:end w:w="120" w:type="dxa"/>
            </w:tcMar>
          </w:tcPr>
          <w:p>
            <w:pPr>
              <w:pStyle w:val="SmallNCDF"/>
            </w:pPr>
            <w:r>
              <w:rPr>
                <w:b/>
                <w:color w:val="FFFFFF"/>
              </w:rPr>
              <w:t>Typical owner</w:t>
            </w:r>
          </w:p>
        </w:tc>
        <w:tc>
          <w:tcPr>
            <w:tcW w:type="dxa" w:w="2484"/>
            <w:shd w:fill="163C72"/>
            <w:tcMar>
              <w:top w:w="110" w:type="dxa"/>
              <w:start w:w="120" w:type="dxa"/>
              <w:bottom w:w="110" w:type="dxa"/>
              <w:end w:w="120" w:type="dxa"/>
            </w:tcMar>
          </w:tcPr>
          <w:p>
            <w:pPr>
              <w:pStyle w:val="SmallNCDF"/>
            </w:pPr>
            <w:r>
              <w:rPr>
                <w:b/>
                <w:color w:val="FFFFFF"/>
              </w:rPr>
              <w:t>Frequency</w:t>
            </w:r>
          </w:p>
        </w:tc>
        <w:tc>
          <w:tcPr>
            <w:tcW w:type="dxa" w:w="2484"/>
            <w:shd w:fill="163C72"/>
            <w:tcMar>
              <w:top w:w="110" w:type="dxa"/>
              <w:start w:w="120" w:type="dxa"/>
              <w:bottom w:w="110" w:type="dxa"/>
              <w:end w:w="120" w:type="dxa"/>
            </w:tcMar>
          </w:tcPr>
          <w:p>
            <w:pPr>
              <w:pStyle w:val="SmallNCDF"/>
            </w:pPr>
            <w:r>
              <w:rPr>
                <w:b/>
                <w:color w:val="FFFFFF"/>
              </w:rPr>
              <w:t>Primary audience</w:t>
            </w:r>
          </w:p>
        </w:tc>
      </w:tr>
      <w:tr>
        <w:tc>
          <w:tcPr>
            <w:tcW w:type="dxa" w:w="2484"/>
            <w:tcMar>
              <w:top w:w="95" w:type="dxa"/>
              <w:start w:w="120" w:type="dxa"/>
              <w:bottom w:w="95" w:type="dxa"/>
              <w:end w:w="120" w:type="dxa"/>
            </w:tcMar>
            <w:vAlign w:val="center"/>
          </w:tcPr>
          <w:p>
            <w:pPr>
              <w:pStyle w:val="SmallNCDF"/>
            </w:pPr>
            <w:r>
              <w:t>Policy / charter review</w:t>
            </w:r>
          </w:p>
        </w:tc>
        <w:tc>
          <w:tcPr>
            <w:tcW w:type="dxa" w:w="2484"/>
            <w:tcMar>
              <w:top w:w="95" w:type="dxa"/>
              <w:start w:w="120" w:type="dxa"/>
              <w:bottom w:w="95" w:type="dxa"/>
              <w:end w:w="120" w:type="dxa"/>
            </w:tcMar>
            <w:vAlign w:val="center"/>
          </w:tcPr>
          <w:p>
            <w:pPr>
              <w:pStyle w:val="SmallNCDF"/>
            </w:pPr>
            <w:r>
              <w:t>Policy owner + Company Secretary</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or committee</w:t>
            </w:r>
          </w:p>
        </w:tc>
      </w:tr>
      <w:tr>
        <w:tc>
          <w:tcPr>
            <w:tcW w:type="dxa" w:w="2484"/>
            <w:tcMar>
              <w:top w:w="95" w:type="dxa"/>
              <w:start w:w="120" w:type="dxa"/>
              <w:bottom w:w="95" w:type="dxa"/>
              <w:end w:w="120" w:type="dxa"/>
            </w:tcMar>
            <w:vAlign w:val="center"/>
          </w:tcPr>
          <w:p>
            <w:pPr>
              <w:pStyle w:val="SmallNCDF"/>
            </w:pPr>
            <w:r>
              <w:t>Management information pack</w:t>
            </w:r>
          </w:p>
        </w:tc>
        <w:tc>
          <w:tcPr>
            <w:tcW w:type="dxa" w:w="2484"/>
            <w:tcMar>
              <w:top w:w="95" w:type="dxa"/>
              <w:start w:w="120" w:type="dxa"/>
              <w:bottom w:w="95" w:type="dxa"/>
              <w:end w:w="120" w:type="dxa"/>
            </w:tcMar>
            <w:vAlign w:val="center"/>
          </w:tcPr>
          <w:p>
            <w:pPr>
              <w:pStyle w:val="SmallNCDF"/>
            </w:pPr>
            <w:r>
              <w:t>Relevant executive / control function</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 management forum</w:t>
            </w:r>
          </w:p>
        </w:tc>
      </w:tr>
      <w:tr>
        <w:tc>
          <w:tcPr>
            <w:tcW w:type="dxa" w:w="2484"/>
            <w:tcMar>
              <w:top w:w="95" w:type="dxa"/>
              <w:start w:w="120" w:type="dxa"/>
              <w:bottom w:w="95" w:type="dxa"/>
              <w:end w:w="120" w:type="dxa"/>
            </w:tcMar>
            <w:vAlign w:val="center"/>
          </w:tcPr>
          <w:p>
            <w:pPr>
              <w:pStyle w:val="SmallNCDF"/>
            </w:pPr>
            <w:r>
              <w:t>Training and awareness evidence</w:t>
            </w:r>
          </w:p>
        </w:tc>
        <w:tc>
          <w:tcPr>
            <w:tcW w:type="dxa" w:w="2484"/>
            <w:tcMar>
              <w:top w:w="95" w:type="dxa"/>
              <w:start w:w="120" w:type="dxa"/>
              <w:bottom w:w="95" w:type="dxa"/>
              <w:end w:w="120" w:type="dxa"/>
            </w:tcMar>
            <w:vAlign w:val="center"/>
          </w:tcPr>
          <w:p>
            <w:pPr>
              <w:pStyle w:val="SmallNCDF"/>
            </w:pPr>
            <w:r>
              <w:t>Compliance / Risk / Secretariat / HR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committee and internal audit</w:t>
            </w:r>
          </w:p>
        </w:tc>
      </w:tr>
      <w:tr>
        <w:tc>
          <w:tcPr>
            <w:tcW w:type="dxa" w:w="2484"/>
            <w:tcMar>
              <w:top w:w="95" w:type="dxa"/>
              <w:start w:w="120" w:type="dxa"/>
              <w:bottom w:w="95" w:type="dxa"/>
              <w:end w:w="120" w:type="dxa"/>
            </w:tcMar>
            <w:vAlign w:val="center"/>
          </w:tcPr>
          <w:p>
            <w:pPr>
              <w:pStyle w:val="SmallNCDF"/>
            </w:pPr>
            <w:r>
              <w:t>Exception and remediation log</w:t>
            </w:r>
          </w:p>
        </w:tc>
        <w:tc>
          <w:tcPr>
            <w:tcW w:type="dxa" w:w="2484"/>
            <w:tcMar>
              <w:top w:w="95" w:type="dxa"/>
              <w:start w:w="120" w:type="dxa"/>
              <w:bottom w:w="95" w:type="dxa"/>
              <w:end w:w="120" w:type="dxa"/>
            </w:tcMar>
            <w:vAlign w:val="center"/>
          </w:tcPr>
          <w:p>
            <w:pPr>
              <w:pStyle w:val="SmallNCDF"/>
            </w:pPr>
            <w:r>
              <w:t>Process owner</w:t>
            </w:r>
          </w:p>
        </w:tc>
        <w:tc>
          <w:tcPr>
            <w:tcW w:type="dxa" w:w="2484"/>
            <w:tcMar>
              <w:top w:w="95" w:type="dxa"/>
              <w:start w:w="120" w:type="dxa"/>
              <w:bottom w:w="95" w:type="dxa"/>
              <w:end w:w="120" w:type="dxa"/>
            </w:tcMar>
            <w:vAlign w:val="center"/>
          </w:tcPr>
          <w:p>
            <w:pPr>
              <w:pStyle w:val="SmallNCDF"/>
            </w:pPr>
            <w:r>
              <w:t>Monthly / quarterly</w:t>
            </w:r>
          </w:p>
        </w:tc>
        <w:tc>
          <w:tcPr>
            <w:tcW w:type="dxa" w:w="2484"/>
            <w:tcMar>
              <w:top w:w="95" w:type="dxa"/>
              <w:start w:w="120" w:type="dxa"/>
              <w:bottom w:w="95" w:type="dxa"/>
              <w:end w:w="120" w:type="dxa"/>
            </w:tcMar>
            <w:vAlign w:val="center"/>
          </w:tcPr>
          <w:p>
            <w:pPr>
              <w:pStyle w:val="SmallNCDF"/>
            </w:pPr>
            <w:r>
              <w:t>Executive management and relevant committee</w:t>
            </w:r>
          </w:p>
        </w:tc>
      </w:tr>
      <w:tr>
        <w:tc>
          <w:tcPr>
            <w:tcW w:type="dxa" w:w="2484"/>
            <w:tcMar>
              <w:top w:w="95" w:type="dxa"/>
              <w:start w:w="120" w:type="dxa"/>
              <w:bottom w:w="95" w:type="dxa"/>
              <w:end w:w="120" w:type="dxa"/>
            </w:tcMar>
            <w:vAlign w:val="center"/>
          </w:tcPr>
          <w:p>
            <w:pPr>
              <w:pStyle w:val="SmallNCDF"/>
            </w:pPr>
            <w:r>
              <w:t>Independent assurance activity</w:t>
            </w:r>
          </w:p>
        </w:tc>
        <w:tc>
          <w:tcPr>
            <w:tcW w:type="dxa" w:w="2484"/>
            <w:tcMar>
              <w:top w:w="95" w:type="dxa"/>
              <w:start w:w="120" w:type="dxa"/>
              <w:bottom w:w="95" w:type="dxa"/>
              <w:end w:w="120" w:type="dxa"/>
            </w:tcMar>
            <w:vAlign w:val="center"/>
          </w:tcPr>
          <w:p>
            <w:pPr>
              <w:pStyle w:val="SmallNCDF"/>
            </w:pPr>
            <w:r>
              <w:t>Internal Audit / external specialist</w:t>
            </w:r>
          </w:p>
        </w:tc>
        <w:tc>
          <w:tcPr>
            <w:tcW w:type="dxa" w:w="2484"/>
            <w:tcMar>
              <w:top w:w="95" w:type="dxa"/>
              <w:start w:w="120" w:type="dxa"/>
              <w:bottom w:w="95" w:type="dxa"/>
              <w:end w:w="120" w:type="dxa"/>
            </w:tcMar>
            <w:vAlign w:val="center"/>
          </w:tcPr>
          <w:p>
            <w:pPr>
              <w:pStyle w:val="SmallNCDF"/>
            </w:pPr>
            <w:r>
              <w:t>Risk-based plan</w:t>
            </w:r>
          </w:p>
        </w:tc>
        <w:tc>
          <w:tcPr>
            <w:tcW w:type="dxa" w:w="2484"/>
            <w:tcMar>
              <w:top w:w="95" w:type="dxa"/>
              <w:start w:w="120" w:type="dxa"/>
              <w:bottom w:w="95" w:type="dxa"/>
              <w:end w:w="120" w:type="dxa"/>
            </w:tcMar>
            <w:vAlign w:val="center"/>
          </w:tcPr>
          <w:p>
            <w:pPr>
              <w:pStyle w:val="SmallNCDF"/>
            </w:pPr>
            <w:r>
              <w:t>Audit &amp; Risk Committee / Board</w:t>
            </w:r>
          </w:p>
        </w:tc>
      </w:tr>
    </w:tbl>
    <w:p>
      <w:pPr>
        <w:pStyle w:val="SmallNCDF"/>
      </w:pPr>
    </w:p>
    <w:p>
      <w:pPr>
        <w:pStyle w:val="Heading1NCDF"/>
      </w:pPr>
      <w:r>
        <w:t>Implementation, review and records</w:t>
      </w:r>
    </w:p>
    <w:p>
      <w:pPr>
        <w:pStyle w:val="BodyTextNCDF"/>
      </w:pPr>
      <w:r>
        <w:t>Management shall maintain procedures, templates, registers and evidence necessary to implement this document in a manner capable of external review. The Company Secretary or designated policy owner shall maintain the approved master copy, revision history, approval minute references, and distribution controls for all controlled versions.</w:t>
      </w:r>
    </w:p>
    <w:p>
      <w:pPr>
        <w:pStyle w:val="Heading2NCDF"/>
      </w:pPr>
      <w:r>
        <w:t>Minimum governance artefacts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Artefact</w:t>
            </w:r>
          </w:p>
        </w:tc>
        <w:tc>
          <w:tcPr>
            <w:tcW w:type="dxa" w:w="2484"/>
            <w:shd w:fill="163C72"/>
            <w:tcMar>
              <w:top w:w="110" w:type="dxa"/>
              <w:start w:w="120" w:type="dxa"/>
              <w:bottom w:w="110" w:type="dxa"/>
              <w:end w:w="120" w:type="dxa"/>
            </w:tcMar>
          </w:tcPr>
          <w:p>
            <w:pPr>
              <w:pStyle w:val="SmallNCDF"/>
            </w:pPr>
            <w:r>
              <w:rPr>
                <w:b/>
                <w:color w:val="FFFFFF"/>
              </w:rPr>
              <w:t>Owner</w:t>
            </w:r>
          </w:p>
        </w:tc>
        <w:tc>
          <w:tcPr>
            <w:tcW w:type="dxa" w:w="2484"/>
            <w:shd w:fill="163C72"/>
            <w:tcMar>
              <w:top w:w="110" w:type="dxa"/>
              <w:start w:w="120" w:type="dxa"/>
              <w:bottom w:w="110" w:type="dxa"/>
              <w:end w:w="120" w:type="dxa"/>
            </w:tcMar>
          </w:tcPr>
          <w:p>
            <w:pPr>
              <w:pStyle w:val="SmallNCDF"/>
            </w:pPr>
            <w:r>
              <w:rPr>
                <w:b/>
                <w:color w:val="FFFFFF"/>
              </w:rPr>
              <w:t>Minimum frequency</w:t>
            </w:r>
          </w:p>
        </w:tc>
        <w:tc>
          <w:tcPr>
            <w:tcW w:type="dxa" w:w="2484"/>
            <w:shd w:fill="163C72"/>
            <w:tcMar>
              <w:top w:w="110" w:type="dxa"/>
              <w:start w:w="120" w:type="dxa"/>
              <w:bottom w:w="110" w:type="dxa"/>
              <w:end w:w="120" w:type="dxa"/>
            </w:tcMar>
          </w:tcPr>
          <w:p>
            <w:pPr>
              <w:pStyle w:val="SmallNCDF"/>
            </w:pPr>
            <w:r>
              <w:rPr>
                <w:b/>
                <w:color w:val="FFFFFF"/>
              </w:rPr>
              <w:t>Evidence</w:t>
            </w:r>
          </w:p>
        </w:tc>
      </w:tr>
      <w:tr>
        <w:tc>
          <w:tcPr>
            <w:tcW w:type="dxa" w:w="2484"/>
            <w:tcMar>
              <w:top w:w="95" w:type="dxa"/>
              <w:start w:w="120" w:type="dxa"/>
              <w:bottom w:w="95" w:type="dxa"/>
              <w:end w:w="120" w:type="dxa"/>
            </w:tcMar>
            <w:vAlign w:val="center"/>
          </w:tcPr>
          <w:p>
            <w:pPr>
              <w:pStyle w:val="SmallNCDF"/>
            </w:pPr>
            <w:r>
              <w:t>Board or committee workplan</w:t>
            </w:r>
          </w:p>
        </w:tc>
        <w:tc>
          <w:tcPr>
            <w:tcW w:type="dxa" w:w="2484"/>
            <w:tcMar>
              <w:top w:w="95" w:type="dxa"/>
              <w:start w:w="120" w:type="dxa"/>
              <w:bottom w:w="95" w:type="dxa"/>
              <w:end w:w="120" w:type="dxa"/>
            </w:tcMar>
            <w:vAlign w:val="center"/>
          </w:tcPr>
          <w:p>
            <w:pPr>
              <w:pStyle w:val="SmallNCDF"/>
            </w:pPr>
            <w:r>
              <w:t>Company Secretary / Chair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Approved calendar and agenda pack</w:t>
            </w:r>
          </w:p>
        </w:tc>
      </w:tr>
      <w:tr>
        <w:tc>
          <w:tcPr>
            <w:tcW w:type="dxa" w:w="2484"/>
            <w:tcMar>
              <w:top w:w="95" w:type="dxa"/>
              <w:start w:w="120" w:type="dxa"/>
              <w:bottom w:w="95" w:type="dxa"/>
              <w:end w:w="120" w:type="dxa"/>
            </w:tcMar>
            <w:vAlign w:val="center"/>
          </w:tcPr>
          <w:p>
            <w:pPr>
              <w:pStyle w:val="SmallNCDF"/>
            </w:pPr>
            <w:r>
              <w:t>Policy attestation or acknowledgement</w:t>
            </w:r>
          </w:p>
        </w:tc>
        <w:tc>
          <w:tcPr>
            <w:tcW w:type="dxa" w:w="2484"/>
            <w:tcMar>
              <w:top w:w="95" w:type="dxa"/>
              <w:start w:w="120" w:type="dxa"/>
              <w:bottom w:w="95" w:type="dxa"/>
              <w:end w:w="120" w:type="dxa"/>
            </w:tcMar>
            <w:vAlign w:val="center"/>
          </w:tcPr>
          <w:p>
            <w:pPr>
              <w:pStyle w:val="SmallNCDF"/>
            </w:pPr>
            <w:r>
              <w:t>People &amp; Culture / Compliance</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Signed attestations or system logs</w:t>
            </w:r>
          </w:p>
        </w:tc>
      </w:tr>
      <w:tr>
        <w:tc>
          <w:tcPr>
            <w:tcW w:type="dxa" w:w="2484"/>
            <w:tcMar>
              <w:top w:w="95" w:type="dxa"/>
              <w:start w:w="120" w:type="dxa"/>
              <w:bottom w:w="95" w:type="dxa"/>
              <w:end w:w="120" w:type="dxa"/>
            </w:tcMar>
            <w:vAlign w:val="center"/>
          </w:tcPr>
          <w:p>
            <w:pPr>
              <w:pStyle w:val="SmallNCDF"/>
            </w:pPr>
            <w:r>
              <w:t>Training and awareness</w:t>
            </w:r>
          </w:p>
        </w:tc>
        <w:tc>
          <w:tcPr>
            <w:tcW w:type="dxa" w:w="2484"/>
            <w:tcMar>
              <w:top w:w="95" w:type="dxa"/>
              <w:start w:w="120" w:type="dxa"/>
              <w:bottom w:w="95" w:type="dxa"/>
              <w:end w:w="120" w:type="dxa"/>
            </w:tcMar>
            <w:vAlign w:val="center"/>
          </w:tcPr>
          <w:p>
            <w:pPr>
              <w:pStyle w:val="SmallNCDF"/>
            </w:pPr>
            <w:r>
              <w:t>Compliance / Risk / Secretariat</w:t>
            </w:r>
          </w:p>
        </w:tc>
        <w:tc>
          <w:tcPr>
            <w:tcW w:type="dxa" w:w="2484"/>
            <w:tcMar>
              <w:top w:w="95" w:type="dxa"/>
              <w:start w:w="120" w:type="dxa"/>
              <w:bottom w:w="95" w:type="dxa"/>
              <w:end w:w="120" w:type="dxa"/>
            </w:tcMar>
            <w:vAlign w:val="center"/>
          </w:tcPr>
          <w:p>
            <w:pPr>
              <w:pStyle w:val="SmallNCDF"/>
            </w:pPr>
            <w:r>
              <w:t>At onboarding and annually</w:t>
            </w:r>
          </w:p>
        </w:tc>
        <w:tc>
          <w:tcPr>
            <w:tcW w:type="dxa" w:w="2484"/>
            <w:tcMar>
              <w:top w:w="95" w:type="dxa"/>
              <w:start w:w="120" w:type="dxa"/>
              <w:bottom w:w="95" w:type="dxa"/>
              <w:end w:w="120" w:type="dxa"/>
            </w:tcMar>
            <w:vAlign w:val="center"/>
          </w:tcPr>
          <w:p>
            <w:pPr>
              <w:pStyle w:val="SmallNCDF"/>
            </w:pPr>
            <w:r>
              <w:t>Attendance logs and materials</w:t>
            </w:r>
          </w:p>
        </w:tc>
      </w:tr>
      <w:tr>
        <w:tc>
          <w:tcPr>
            <w:tcW w:type="dxa" w:w="2484"/>
            <w:tcMar>
              <w:top w:w="95" w:type="dxa"/>
              <w:start w:w="120" w:type="dxa"/>
              <w:bottom w:w="95" w:type="dxa"/>
              <w:end w:w="120" w:type="dxa"/>
            </w:tcMar>
            <w:vAlign w:val="center"/>
          </w:tcPr>
          <w:p>
            <w:pPr>
              <w:pStyle w:val="SmallNCDF"/>
            </w:pPr>
            <w:r>
              <w:t>Exception register</w:t>
            </w:r>
          </w:p>
        </w:tc>
        <w:tc>
          <w:tcPr>
            <w:tcW w:type="dxa" w:w="2484"/>
            <w:tcMar>
              <w:top w:w="95" w:type="dxa"/>
              <w:start w:w="120" w:type="dxa"/>
              <w:bottom w:w="95" w:type="dxa"/>
              <w:end w:w="120" w:type="dxa"/>
            </w:tcMar>
            <w:vAlign w:val="center"/>
          </w:tcPr>
          <w:p>
            <w:pPr>
              <w:pStyle w:val="SmallNCDF"/>
            </w:pPr>
            <w:r>
              <w:t>Policy owner</w:t>
            </w:r>
          </w:p>
        </w:tc>
        <w:tc>
          <w:tcPr>
            <w:tcW w:type="dxa" w:w="2484"/>
            <w:tcMar>
              <w:top w:w="95" w:type="dxa"/>
              <w:start w:w="120" w:type="dxa"/>
              <w:bottom w:w="95" w:type="dxa"/>
              <w:end w:w="120" w:type="dxa"/>
            </w:tcMar>
            <w:vAlign w:val="center"/>
          </w:tcPr>
          <w:p>
            <w:pPr>
              <w:pStyle w:val="SmallNCDF"/>
            </w:pPr>
            <w:r>
              <w:t>As needed</w:t>
            </w:r>
          </w:p>
        </w:tc>
        <w:tc>
          <w:tcPr>
            <w:tcW w:type="dxa" w:w="2484"/>
            <w:tcMar>
              <w:top w:w="95" w:type="dxa"/>
              <w:start w:w="120" w:type="dxa"/>
              <w:bottom w:w="95" w:type="dxa"/>
              <w:end w:w="120" w:type="dxa"/>
            </w:tcMar>
            <w:vAlign w:val="center"/>
          </w:tcPr>
          <w:p>
            <w:pPr>
              <w:pStyle w:val="SmallNCDF"/>
            </w:pPr>
            <w:r>
              <w:t>Documented waivers and remediation actions</w:t>
            </w:r>
          </w:p>
        </w:tc>
      </w:tr>
      <w:tr>
        <w:tc>
          <w:tcPr>
            <w:tcW w:type="dxa" w:w="2484"/>
            <w:tcMar>
              <w:top w:w="95" w:type="dxa"/>
              <w:start w:w="120" w:type="dxa"/>
              <w:bottom w:w="95" w:type="dxa"/>
              <w:end w:w="120" w:type="dxa"/>
            </w:tcMar>
            <w:vAlign w:val="center"/>
          </w:tcPr>
          <w:p>
            <w:pPr>
              <w:pStyle w:val="SmallNCDF"/>
            </w:pPr>
            <w:r>
              <w:t>Board reporting</w:t>
            </w:r>
          </w:p>
        </w:tc>
        <w:tc>
          <w:tcPr>
            <w:tcW w:type="dxa" w:w="2484"/>
            <w:tcMar>
              <w:top w:w="95" w:type="dxa"/>
              <w:start w:w="120" w:type="dxa"/>
              <w:bottom w:w="95" w:type="dxa"/>
              <w:end w:w="120" w:type="dxa"/>
            </w:tcMar>
            <w:vAlign w:val="center"/>
          </w:tcPr>
          <w:p>
            <w:pPr>
              <w:pStyle w:val="SmallNCDF"/>
            </w:pPr>
            <w:r>
              <w:t>Relevant executive owner</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papers</w:t>
            </w:r>
          </w:p>
        </w:tc>
      </w:tr>
    </w:tbl>
    <w:p>
      <w:pPr>
        <w:pStyle w:val="SmallNCDF"/>
      </w:pPr>
    </w:p>
    <w:p>
      <w:pPr>
        <w:pStyle w:val="Heading1NCDF"/>
      </w:pPr>
      <w:r>
        <w:t>Appendix: document control summary</w:t>
      </w:r>
    </w:p>
    <w:p>
      <w:pPr>
        <w:pStyle w:val="Heading2NCDF"/>
      </w:pPr>
      <w:r>
        <w:t>Control sheet</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Field</w:t>
            </w:r>
          </w:p>
        </w:tc>
        <w:tc>
          <w:tcPr>
            <w:tcW w:type="dxa" w:w="4968"/>
            <w:shd w:fill="163C72"/>
            <w:tcMar>
              <w:top w:w="110" w:type="dxa"/>
              <w:start w:w="120" w:type="dxa"/>
              <w:bottom w:w="110" w:type="dxa"/>
              <w:end w:w="120" w:type="dxa"/>
            </w:tcMar>
          </w:tcPr>
          <w:p>
            <w:pPr>
              <w:pStyle w:val="SmallNCDF"/>
            </w:pPr>
            <w:r>
              <w:rPr>
                <w:b/>
                <w:color w:val="FFFFFF"/>
              </w:rPr>
              <w:t>Entry</w:t>
            </w:r>
          </w:p>
        </w:tc>
      </w:tr>
      <w:tr>
        <w:tc>
          <w:tcPr>
            <w:tcW w:type="dxa" w:w="4968"/>
            <w:tcMar>
              <w:top w:w="95" w:type="dxa"/>
              <w:start w:w="120" w:type="dxa"/>
              <w:bottom w:w="95" w:type="dxa"/>
              <w:end w:w="120" w:type="dxa"/>
            </w:tcMar>
            <w:vAlign w:val="center"/>
          </w:tcPr>
          <w:p>
            <w:pPr>
              <w:pStyle w:val="SmallNCDF"/>
            </w:pPr>
            <w:r>
              <w:t>Document status</w:t>
            </w:r>
          </w:p>
        </w:tc>
        <w:tc>
          <w:tcPr>
            <w:tcW w:type="dxa" w:w="4968"/>
            <w:tcMar>
              <w:top w:w="95" w:type="dxa"/>
              <w:start w:w="120" w:type="dxa"/>
              <w:bottom w:w="95" w:type="dxa"/>
              <w:end w:w="120" w:type="dxa"/>
            </w:tcMar>
            <w:vAlign w:val="center"/>
          </w:tcPr>
          <w:p>
            <w:pPr>
              <w:pStyle w:val="SmallNCDF"/>
            </w:pPr>
            <w:r>
              <w:t>Institutional policy / charter / framework</w:t>
            </w:r>
          </w:p>
        </w:tc>
      </w:tr>
      <w:tr>
        <w:tc>
          <w:tcPr>
            <w:tcW w:type="dxa" w:w="4968"/>
            <w:tcMar>
              <w:top w:w="95" w:type="dxa"/>
              <w:start w:w="120" w:type="dxa"/>
              <w:bottom w:w="95" w:type="dxa"/>
              <w:end w:w="120" w:type="dxa"/>
            </w:tcMar>
            <w:vAlign w:val="center"/>
          </w:tcPr>
          <w:p>
            <w:pPr>
              <w:pStyle w:val="SmallNCDF"/>
            </w:pPr>
            <w:r>
              <w:t>Primary audience</w:t>
            </w:r>
          </w:p>
        </w:tc>
        <w:tc>
          <w:tcPr>
            <w:tcW w:type="dxa" w:w="4968"/>
            <w:tcMar>
              <w:top w:w="95" w:type="dxa"/>
              <w:start w:w="120" w:type="dxa"/>
              <w:bottom w:w="95" w:type="dxa"/>
              <w:end w:w="120" w:type="dxa"/>
            </w:tcMar>
            <w:vAlign w:val="center"/>
          </w:tcPr>
          <w:p>
            <w:pPr>
              <w:pStyle w:val="SmallNCDF"/>
            </w:pPr>
            <w:r>
              <w:t>Board, management, regulated entities, fund governance teams and diligence stakeholders</w:t>
            </w:r>
          </w:p>
        </w:tc>
      </w:tr>
      <w:tr>
        <w:tc>
          <w:tcPr>
            <w:tcW w:type="dxa" w:w="4968"/>
            <w:tcMar>
              <w:top w:w="95" w:type="dxa"/>
              <w:start w:w="120" w:type="dxa"/>
              <w:bottom w:w="95" w:type="dxa"/>
              <w:end w:w="120" w:type="dxa"/>
            </w:tcMar>
            <w:vAlign w:val="center"/>
          </w:tcPr>
          <w:p>
            <w:pPr>
              <w:pStyle w:val="SmallNCDF"/>
            </w:pPr>
            <w:r>
              <w:t>Review trigger events</w:t>
            </w:r>
          </w:p>
        </w:tc>
        <w:tc>
          <w:tcPr>
            <w:tcW w:type="dxa" w:w="4968"/>
            <w:tcMar>
              <w:top w:w="95" w:type="dxa"/>
              <w:start w:w="120" w:type="dxa"/>
              <w:bottom w:w="95" w:type="dxa"/>
              <w:end w:w="120" w:type="dxa"/>
            </w:tcMar>
            <w:vAlign w:val="center"/>
          </w:tcPr>
          <w:p>
            <w:pPr>
              <w:pStyle w:val="SmallNCDF"/>
            </w:pPr>
            <w:r>
              <w:t>Regulatory change, major transaction, operating model change, control failure, external assurance finding or Board instruction</w:t>
            </w:r>
          </w:p>
        </w:tc>
      </w:tr>
      <w:tr>
        <w:tc>
          <w:tcPr>
            <w:tcW w:type="dxa" w:w="4968"/>
            <w:tcMar>
              <w:top w:w="95" w:type="dxa"/>
              <w:start w:w="120" w:type="dxa"/>
              <w:bottom w:w="95" w:type="dxa"/>
              <w:end w:w="120" w:type="dxa"/>
            </w:tcMar>
            <w:vAlign w:val="center"/>
          </w:tcPr>
          <w:p>
            <w:pPr>
              <w:pStyle w:val="SmallNCDF"/>
            </w:pPr>
            <w:r>
              <w:t>Related documents</w:t>
            </w:r>
          </w:p>
        </w:tc>
        <w:tc>
          <w:tcPr>
            <w:tcW w:type="dxa" w:w="4968"/>
            <w:tcMar>
              <w:top w:w="95" w:type="dxa"/>
              <w:start w:w="120" w:type="dxa"/>
              <w:bottom w:w="95" w:type="dxa"/>
              <w:end w:w="120" w:type="dxa"/>
            </w:tcMar>
            <w:vAlign w:val="center"/>
          </w:tcPr>
          <w:p>
            <w:pPr>
              <w:pStyle w:val="SmallNCDF"/>
            </w:pPr>
            <w:r>
              <w:t>Code of business conduct and ethics, disclosure policy, delegated authorities, risk governance, committee charters, ESMS, AML/KYC, procurement and compliance procedures</w:t>
            </w:r>
          </w:p>
        </w:tc>
      </w:tr>
      <w:tr>
        <w:tc>
          <w:tcPr>
            <w:tcW w:type="dxa" w:w="4968"/>
            <w:tcMar>
              <w:top w:w="95" w:type="dxa"/>
              <w:start w:w="120" w:type="dxa"/>
              <w:bottom w:w="95" w:type="dxa"/>
              <w:end w:w="120" w:type="dxa"/>
            </w:tcMar>
            <w:vAlign w:val="center"/>
          </w:tcPr>
          <w:p>
            <w:pPr>
              <w:pStyle w:val="SmallNCDF"/>
            </w:pPr>
            <w:r>
              <w:t>Retention expectation</w:t>
            </w:r>
          </w:p>
        </w:tc>
        <w:tc>
          <w:tcPr>
            <w:tcW w:type="dxa" w:w="4968"/>
            <w:tcMar>
              <w:top w:w="95" w:type="dxa"/>
              <w:start w:w="120" w:type="dxa"/>
              <w:bottom w:w="95" w:type="dxa"/>
              <w:end w:w="120" w:type="dxa"/>
            </w:tcMar>
            <w:vAlign w:val="center"/>
          </w:tcPr>
          <w:p>
            <w:pPr>
              <w:pStyle w:val="SmallNCDF"/>
            </w:pPr>
            <w:r>
              <w:t>Retain current and superseded versions in controlled corporate records repository</w:t>
            </w:r>
          </w:p>
        </w:tc>
      </w:tr>
    </w:tbl>
    <w:p>
      <w:pPr>
        <w:pStyle w:val="SmallNCDF"/>
      </w:pPr>
    </w:p>
    <w:sectPr w:rsidR="00FC693F" w:rsidRPr="0006063C" w:rsidSect="00034616">
      <w:footerReference w:type="default" r:id="rId9"/>
      <w:pgSz w:w="12240" w:h="15840"/>
      <w:pgMar w:top="1152"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 xml:space="preserve">NCDF Group Institutional Governance Pack  |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TextNCDF">
    <w:name w:val="BodyTextNCDF"/>
    <w:basedOn w:val="Normal"/>
    <w:pPr>
      <w:spacing w:line="276" w:lineRule="auto" w:after="120"/>
    </w:pPr>
    <w:rPr>
      <w:rFonts w:ascii="Aptos" w:hAnsi="Aptos"/>
      <w:sz w:val="21"/>
    </w:rPr>
  </w:style>
  <w:style w:type="paragraph" w:customStyle="1" w:styleId="SmallNCDF">
    <w:name w:val="SmallNCDF"/>
    <w:basedOn w:val="Normal"/>
    <w:pPr>
      <w:spacing w:line="240" w:lineRule="auto" w:after="60"/>
    </w:pPr>
    <w:rPr>
      <w:rFonts w:ascii="Aptos" w:hAnsi="Aptos"/>
      <w:sz w:val="17"/>
    </w:rPr>
  </w:style>
  <w:style w:type="paragraph" w:customStyle="1" w:styleId="Heading1NCDF">
    <w:name w:val="Heading1NCDF"/>
    <w:basedOn w:val="Heading1"/>
    <w:pPr>
      <w:keepNext/>
      <w:spacing w:before="200" w:after="80"/>
    </w:pPr>
    <w:rPr>
      <w:rFonts w:ascii="Aptos Display" w:hAnsi="Aptos Display"/>
      <w:b/>
      <w:color w:val="163C72"/>
      <w:sz w:val="32"/>
    </w:rPr>
  </w:style>
  <w:style w:type="paragraph" w:customStyle="1" w:styleId="Heading2NCDF">
    <w:name w:val="Heading2NCDF"/>
    <w:basedOn w:val="Heading2"/>
    <w:pPr>
      <w:keepNext/>
      <w:spacing w:before="160" w:after="60"/>
    </w:pPr>
    <w:rPr>
      <w:rFonts w:ascii="Aptos" w:hAnsi="Aptos"/>
      <w:b/>
      <w:color w:val="2D4F85"/>
      <w:sz w:val="24"/>
    </w:rPr>
  </w:style>
  <w:style w:type="paragraph" w:customStyle="1" w:styleId="CoverTitle">
    <w:name w:val="CoverTitle"/>
    <w:basedOn w:val="Title"/>
    <w:pPr>
      <w:spacing w:after="200"/>
    </w:pPr>
    <w:rPr>
      <w:rFonts w:ascii="Aptos Display" w:hAnsi="Aptos Display"/>
      <w:b/>
      <w:color w:val="163C72"/>
      <w:sz w:val="48"/>
    </w:rPr>
  </w:style>
  <w:style w:type="paragraph" w:customStyle="1" w:styleId="CoverSub">
    <w:name w:val="CoverSub"/>
    <w:basedOn w:val="Subtitle"/>
    <w:pPr>
      <w:spacing w:after="160"/>
    </w:pPr>
    <w:rPr>
      <w:rFonts w:ascii="Aptos" w:hAnsi="Aptos"/>
      <w:color w:val="5A5A5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